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cs="Times New Roman"/>
          <w:b/>
          <w:b/>
          <w:bCs/>
          <w:lang w:val="en-US"/>
        </w:rPr>
      </w:pPr>
      <w:r>
        <w:rPr>
          <w:rFonts w:cs="Times New Roman" w:ascii="Times New Roman" w:hAnsi="Times New Roman"/>
          <w:b/>
          <w:bCs/>
          <w:lang w:val="en-US"/>
        </w:rPr>
        <w:t xml:space="preserve">The Contagion of Collective Action: </w:t>
      </w:r>
    </w:p>
    <w:p>
      <w:pPr>
        <w:pStyle w:val="Normal"/>
        <w:spacing w:lineRule="auto" w:line="240" w:before="0" w:after="0"/>
        <w:jc w:val="center"/>
        <w:rPr>
          <w:rFonts w:ascii="Times New Roman" w:hAnsi="Times New Roman" w:cs="Times New Roman"/>
          <w:b/>
          <w:b/>
          <w:bCs/>
          <w:lang w:val="en-US"/>
        </w:rPr>
      </w:pPr>
      <w:r>
        <w:rPr>
          <w:rFonts w:cs="Times New Roman" w:ascii="Times New Roman" w:hAnsi="Times New Roman"/>
          <w:b/>
          <w:bCs/>
          <w:lang w:val="en-US"/>
        </w:rPr>
        <w:t>The Spread of Citizen Collectives for Care in The Netherlands.</w:t>
      </w:r>
    </w:p>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r>
    </w:p>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r>
    </w:p>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t>Kevin Wittenberg</w:t>
      </w:r>
    </w:p>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t>Rense Corten</w:t>
      </w:r>
    </w:p>
    <w:p>
      <w:pPr>
        <w:pStyle w:val="Normal"/>
        <w:spacing w:lineRule="auto" w:line="240" w:before="0" w:after="0"/>
        <w:rPr>
          <w:rFonts w:ascii="Times New Roman" w:hAnsi="Times New Roman" w:cs="Times New Roman"/>
          <w:b/>
          <w:b/>
          <w:bCs/>
          <w:lang w:val="en-US"/>
        </w:rPr>
      </w:pPr>
      <w:r>
        <w:rPr>
          <w:rFonts w:cs="Times New Roman" w:ascii="Times New Roman" w:hAnsi="Times New Roman"/>
          <w:b/>
          <w:bCs/>
          <w:lang w:val="en-US"/>
        </w:rPr>
      </w:r>
    </w:p>
    <w:p>
      <w:pPr>
        <w:pStyle w:val="Normal"/>
        <w:spacing w:lineRule="auto" w:line="480" w:before="0" w:after="0"/>
        <w:contextualSpacing/>
        <w:jc w:val="both"/>
        <w:rPr>
          <w:rFonts w:ascii="Times New Roman" w:hAnsi="Times New Roman" w:cs="Times New Roman"/>
          <w:lang w:val="en-US"/>
        </w:rPr>
      </w:pPr>
      <w:r>
        <w:rPr>
          <w:rFonts w:cs="Times New Roman" w:ascii="Times New Roman" w:hAnsi="Times New Roman"/>
          <w:b/>
          <w:bCs/>
          <w:lang w:val="en-US"/>
        </w:rPr>
        <w:t>Introduction</w:t>
      </w:r>
    </w:p>
    <w:p>
      <w:pPr>
        <w:pStyle w:val="Normal"/>
        <w:spacing w:lineRule="auto" w:line="480" w:before="0" w:after="0"/>
        <w:contextualSpacing/>
        <w:jc w:val="both"/>
        <w:rPr>
          <w:rFonts w:ascii="Times New Roman" w:hAnsi="Times New Roman" w:cs="Times New Roman"/>
          <w:lang w:val="en-US"/>
        </w:rPr>
      </w:pPr>
      <w:r>
        <w:rPr>
          <w:rFonts w:cs="Times New Roman" w:ascii="Times New Roman" w:hAnsi="Times New Roman"/>
          <w:lang w:val="en-US"/>
        </w:rPr>
        <w:t xml:space="preserve">Across many domains which are typically maintained by the state or market (e.g. food production, health care, energy and housing) there is a resurgence of collective action by citizens to take charge and organize the provision of resources for themselves </w:t>
      </w:r>
      <w:r>
        <w:fldChar w:fldCharType="begin"/>
      </w:r>
      <w:r>
        <w:rPr>
          <w:rFonts w:cs="Times New Roman" w:ascii="Times New Roman" w:hAnsi="Times New Roman"/>
          <w:lang w:val="en-US"/>
        </w:rPr>
        <w:instrText xml:space="preserve">ADDIN ZOTERO_ITEM CSL_CITATION {"citationID":"bNhBUQXB","properties":{"formattedCitation":"(De Moor 2008)","plainCitation":"(De Moor 2008)","noteIndex":0},"citationItems":[{"id":12,"uris":["http://zotero.org/users/local/KhtVq53Q/items/TW5QW96I",["http://zotero.org/users/local/KhtVq53Q/items/TW5QW96I"]],"itemData":{"id":12,"type":"article-journal","container-title":"International Review of Social History","DOI":"10.1017/S0020859008003660","ISSN":"0020-8590, 1469-512X","issue":"S16","journalAbbreviation":"Int Rev of Soc His","language":"en","page":"179-212","source":"DOI.org (Crossref)","title":"The Silent Revolution: A New Perspective on the Emergence of Commons, Guilds, and Other Forms of Corporate Collective Action in Western Europe","title-short":"The Silent Revolution","volume":"53","author":[{"family":"De Moor","given":"Tine"}],"issued":{"date-parts":[["2008",12]]}}}],"schema":"https://github.com/citation-style-language/schema/raw/master/csl-citation.json"}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 Moor 2008)</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In the health care domain, these ‘citizen collectives’ are often born out of necessity, when existing institutions no longer meet de demand for resources in an area and citizens are increasingly expected to find (informal) care primarily in their personal networks </w:t>
      </w:r>
      <w:r>
        <w:fldChar w:fldCharType="begin"/>
      </w:r>
      <w:r>
        <w:rPr>
          <w:rFonts w:cs="Times New Roman" w:ascii="Times New Roman" w:hAnsi="Times New Roman"/>
          <w:lang w:val="en-US"/>
        </w:rPr>
        <w:instrText xml:space="preserve">ADDIN ZOTERO_ITEM CSL_CITATION {"citationID":"gjhgWBm4","properties":{"formattedCitation":"(de Klerk et al. 2018)","plainCitation":"(de Klerk et al. 2018)","dontUpdate":true,"noteIndex":0},"citationItems":[{"id":47,"uris":["http://zotero.org/users/local/KhtVq53Q/items/6TCTMCCG",["http://zotero.org/users/local/KhtVq53Q/items/6TCTMCCG"]],"itemData":{"id":47,"type":"article-magazine","abstract":"De overheid wil dat we zoveel mogelijk ons eigen netwerk inschakelen als we hulp nodig hebben. Daar denken mensen genuanceerder over, ontdekte het Sociaal en Cultureel Planbureau: de meerderheid vindt dat informele hulp vooral aanvullend moet zijn op overheidsvoorzieningen.","container-title":"Sociale Vraagstukken","language":"nl","note":"section: Civil society","title":"Overheid wil eerst eigen netwerk, burgers zien dat toch anders","URL":"https://www.socialevraagstukken.nl/overheid-wil-eerst-eigen-netwerk-burgers-zien-dat-toch-anders/","author":[{"family":"Klerk","given":"Mirjam","non-dropping-particle":"de"},{"family":"Boer","given":"Alice","non-dropping-particle":"de"},{"family":"Plaisier","given":"Inger"},{"family":"Schyns","given":"Peggy"}],"accessed":{"date-parts":[["2021",1,11]]},"issued":{"date-parts":[["2018",2,13]]}}}],"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 Klerk et al. 2018, Wittenberg et al. 2023 (forthcoming))</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 xml:space="preserve">This resurgence receives scientific and political interest, as collective citizen-based organization of services has been associated with reduced costs, tailored resource management and active citizenship </w:t>
      </w:r>
      <w:r>
        <w:fldChar w:fldCharType="begin"/>
      </w:r>
      <w:r>
        <w:rPr>
          <w:rFonts w:cs="Times New Roman" w:ascii="Times New Roman" w:hAnsi="Times New Roman"/>
          <w:lang w:val="en-US"/>
        </w:rPr>
        <w:instrText xml:space="preserve">ADDIN ZOTERO_ITEM CSL_CITATION {"citationID":"EzqIeEiM","properties":{"formattedCitation":"(van Ark 2016; SCP 2019)","plainCitation":"(van Ark 2016; SCP 2019)","noteIndex":0},"citationItems":[{"id":106,"uris":["http://zotero.org/users/local/KhtVq53Q/items/5F84GHM3",["http://zotero.org/users/local/KhtVq53Q/items/5F84GHM3"]],"itemData":{"id":106,"type":"article-journal","container-title":"Lucide","DOI":"10.1007/s40408-016-0028-8","ISSN":"2213-6118, 2213-6126","issue":"2","journalAbbreviation":"Lucide","language":"nl","page":"36-43","source":"DOI.org (Crossref)","title":"De zorgcoöperatie: Hoe ouderen zelf het zorgstelsel van onderop veranderen","title-short":"De zorgcoöperatie","volume":"5","author":[{"family":"Ark","given":"Eelke","non-dropping-particle":"van"}],"issued":{"date-parts":[["2016",6]]}}},{"id":77,"uris":["http://zotero.org/users/local/KhtVq53Q/items/V9ZAWIVX",["http://zotero.org/users/local/KhtVq53Q/items/V9ZAWIVX"]],"itemData":{"id":77,"type":"document","abstract":"ISBN 978 90 377 0929 2","title":"Mantelzorgers in het vizier. Beleidssignalement mantelzorg.","author":[{"family":"SCP","given":""}],"issued":{"date-parts":[["2019"]]}}}],"schema":"https://github.com/citation-style-language/schema/raw/master/csl-citation.json"}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Ark 2016; SCP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This is of particular importance for health care, where rising costs and the retreat of the welfare state have put care provision under pressure in multiple European countries </w:t>
      </w:r>
      <w:r>
        <w:fldChar w:fldCharType="begin"/>
      </w:r>
      <w:r>
        <w:rPr>
          <w:rFonts w:cs="Times New Roman" w:ascii="Times New Roman" w:hAnsi="Times New Roman"/>
          <w:lang w:val="en-US"/>
        </w:rPr>
        <w:instrText xml:space="preserve">ADDIN ZOTERO_ITEM CSL_CITATION {"citationID":"QRy7Jg1u","properties":{"formattedCitation":"(PwC n.d.)","plainCitation":"(PwC n.d.)","noteIndex":0},"citationItems":[{"id":99,"uris":["http://zotero.org/users/local/KhtVq53Q/items/KBFP38R2",["http://zotero.org/users/local/KhtVq53Q/items/KBFP38R2"]],"itemData":{"id":99,"type":"webpage","abstract":"Governments face pressure to reduce costs but not quality as healthcare systems around the world deal with depleting resources and rising demands.","container-title":"pwc","language":"en_gx","title":"Depleting resources adding pressure to healthcare","URL":"https://www.pwc.com/gx/en/industries/healthcare/emerging-trends-pwc-healthcare/depleting-resources.html","author":[{"family":"PwC","given":""}],"accessed":{"date-parts":[["2021",2,23]]}}}],"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(PwC n.d.)</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However, very little is known about the conditions that facilitate the emergence of these citizen collectives for care. That is surprising, since variability of these conditions  fosters potential inequalities in access to health care between communities, which could become larger as citizen-based initiatives make up a larger share of (in)formal care provision. This absence of explanatory accounts is common to literature on citizen collectives in other domains too. Over 80% of studies to date have been exploratory, descriptive, and/or focused on outcomes of collectives for individual members </w:t>
      </w:r>
      <w:r>
        <w:fldChar w:fldCharType="begin"/>
      </w:r>
      <w:r>
        <w:rPr>
          <w:rFonts w:cs="Times New Roman" w:ascii="Times New Roman" w:hAnsi="Times New Roman"/>
          <w:lang w:val="en-US"/>
        </w:rPr>
        <w:instrText xml:space="preserve">ADDIN ZOTERO_ITEM CSL_CITATION {"citationID":"jxJ2b7b6","properties":{"formattedCitation":"(Igalla, Edelenbos, and van Meerkerk 2019)","plainCitation":"(Igalla, Edelenbos, and van Meerkerk 2019)","noteIndex":0},"citationItems":[{"id":236,"uris":["http://zotero.org/users/local/KhtVq53Q/items/3BT93TVP",["http://zotero.org/users/local/KhtVq53Q/items/3BT93TVP"]],"itemData":{"id":236,"type":"article-journal","container-title":"VOLUNTAS: International Journal of Voluntary and Nonprofit Organizations","DOI":"10.1007/s11266-019-00129-0","ISSN":"0957-8765, 1573-7888","issue":"5","journalAbbreviation":"Voluntas","language":"en","page":"1176-1194","source":"DOI.org (Crossref)","title":"Citizens in Action, What Do They Accomplish? A Systematic Literature Review of Citizen Initiatives, Their Main Characteristics, Outcomes, and Factors","title-short":"Citizens in Action, What Do They Accomplish?","volume":"30","author":[{"family":"Igalla","given":"Malika"},{"family":"Edelenbos","given":"Jurian"},{"family":"Meerkerk","given":"Ingmar","non-dropping-particle":"van"}],"issued":{"date-parts":[["2019",10]]}}}],"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(Igalla, Edelenbos, and van Meerkerk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 xml:space="preserve">Among the limited number of studies that </w:t>
      </w:r>
      <w:r>
        <w:rPr>
          <w:rFonts w:cs="Times New Roman" w:ascii="Times New Roman" w:hAnsi="Times New Roman"/>
          <w:i/>
          <w:iCs/>
          <w:lang w:val="en-US"/>
        </w:rPr>
        <w:t>have</w:t>
      </w:r>
      <w:r>
        <w:rPr>
          <w:rFonts w:cs="Times New Roman" w:ascii="Times New Roman" w:hAnsi="Times New Roman"/>
          <w:lang w:val="en-US"/>
        </w:rPr>
        <w:t xml:space="preserve"> addressed the emergence of care collectives, the dominant perspective has been to identify characteristics of individuals and groups that facilitate their interest and ability to partake in collective action. However, the consensus among this research has been that the explanatory power of this approach has been very modest. To address this, recent work has started to propose an alternative theoretical perspective </w:t>
      </w:r>
      <w:r>
        <w:fldChar w:fldCharType="begin"/>
      </w:r>
      <w:r>
        <w:rPr>
          <w:rFonts w:cs="Times New Roman" w:ascii="Times New Roman" w:hAnsi="Times New Roman"/>
          <w:lang w:val="en-US"/>
        </w:rPr>
        <w:instrText xml:space="preserve">ADDIN ZOTERO_ITEM CSL_CITATION {"citationID":"eNOFGtQx","properties":{"formattedCitation":"(van der Knaap et al. 2019; Punt et al. 2021)","plainCitation":"(van der Knaap et al. 2019; Punt et al. 2021)","noteIndex":0},"citationItems":[{"id":18,"uris":["http://zotero.org/users/local/KhtVq53Q/items/MMCPI6GT",["http://zotero.org/users/local/KhtVq53Q/items/MMCPI6GT"]],"itemData":{"id":18,"type":"article-journal","abstract":"Abstract\n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der Knaap et al. 2019; 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Namely, that citizen collectives may be comparable to social movements and innovations in the sense that they are ‘contagious’. That is, the presence of citizen collectives may spill-over to adjacent regions through mechanisms such as increased legitimacy </w:t>
      </w:r>
      <w:r>
        <w:fldChar w:fldCharType="begin"/>
      </w:r>
      <w:r>
        <w:rPr>
          <w:rFonts w:cs="Times New Roman" w:ascii="Times New Roman" w:hAnsi="Times New Roman"/>
          <w:lang w:val="en-US"/>
        </w:rPr>
        <w:instrText xml:space="preserve">ADDIN ZOTERO_ITEM CSL_CITATION {"citationID":"KAzYyog4","properties":{"formattedCitation":"(Punt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or social learning </w:t>
      </w:r>
      <w:r>
        <w:fldChar w:fldCharType="begin"/>
      </w:r>
      <w:r>
        <w:rPr>
          <w:rFonts w:cs="Times New Roman" w:ascii="Times New Roman" w:hAnsi="Times New Roman"/>
          <w:lang w:val="en-US"/>
        </w:rPr>
        <w:instrText xml:space="preserve">ADDIN ZOTERO_ITEM CSL_CITATION {"citationID":"tUg1Jp1L","properties":{"formattedCitation":"(Bokhorst 2015; van der Knaap et al. 2019; Romme 2014)","plainCitation":"(Bokhorst 2015; van der Knaap et al. 2019; Romme 2014)","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P."}],"issued":{"date-parts":[["2019",12]]}}},{"id":21,"uris":["http://zotero.org/users/local/KhtVq53Q/items/4X4ENEUM",["http://zotero.org/users/local/KhtVq53Q/items/4X4ENEUM"]],"itemData":{"id":21,"type":"thesis","event-place":"Utrecht","publisher":"Utrecht University","publisher-place":"Utrecht","title":"De revival van de coöperatie:de buurt- en dorpscoöperaties. Kwalitatief onderzoek naar de visie van direct betrokkenen van buurt- en dorpscoöperaties op factoren die belangrijk zijn voor het oprichten en vitaal houden van dergelijke burgerorganisaties.","URL":"https://dspace.library.uu.nl/bitstream/handle/1874/301322/Masterthesis%20Annelies%20Romme%20buurt%20en%20dorpscooperaties.pdf?sequence=2&amp;isAllowed=y","author":[{"family":"Romme","given":"A.J.P"}],"accessed":{"date-parts":[["2020",4,1]]},"issued":{"date-parts":[["2014",9,22]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(Bokhorst 2015; van der Knaap et al. 2019; Romme 2014)</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More generally, this approach implies that citizen collectives may foster the emergence of additional collectives in their vicinity. This is an appealing thought to policy makers, since it implies that a transition towards more citizen collectives may not require continued intensive policy intervention.</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However, research on this topic has been exclusively exploratory and empirical support has been scarce and contradictory. Moreover, the observation that underpins this line of reasoning, namely that citizen collectives for care appear in distinct geographic clusters, has thusfar been based on visual inspection of maps of these collectives, and has not been quantified or been subject to any form of statistical analysis to test if this clustering is stronger than could be expected under random spatial allocation.</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 xml:space="preserve">In this study, we expand on the literature in three ways. First, we provide one of the first accounts of the </w:t>
      </w:r>
      <w:r>
        <w:rPr>
          <w:rFonts w:cs="Times New Roman" w:ascii="Times New Roman" w:hAnsi="Times New Roman"/>
        </w:rPr>
        <w:t>geographic distribution</w:t>
      </w:r>
      <w:r>
        <w:rPr>
          <w:rFonts w:cs="Times New Roman" w:ascii="Times New Roman" w:hAnsi="Times New Roman"/>
          <w:lang w:val="en-US"/>
        </w:rPr>
        <w:t xml:space="preserve"> of citizen collectives for healthcare on a country-level scale. We use a comprehensive inventory of health care collectives in the Netherlands to quantify the geographic clustering of these collectives. Second, we employ a data-driven approach to identify the extent to which this clustering can be attributed to processes of diffusion/contagion, while accounting for potential spurious explanations based on regional demographic, economic and geographic characteristics. Third, we try to get at the mechanisms that underpin these diffusion processes by investigating the extent to which diffusion processes differ in strength within and across municipal legislative boundaries. This gives an intuition for extent to which diffusion is mediated by increased legitimacy of citizen collectives as opposed to processes of direct influence between (groups of) citizens. Finally, we explore the results of the data-driven approach to identify the overall predictability of citizen collectives using administrative data about demographic, economic and geographic characteristics of neighborhoods, and we try to categorize the ’types’ of collectives for care that are more or less predictable based on this information. </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The extent to which the presence of care collectives can be predicted by a model that is estimated based on administrative information at the community-level can provide valuable theoretical insights into the importance of community-level explanations of citizen collectives compared to interactions and information at the level of individuals. In addition, high predictability will enable development of tools that allow legislators to identify areas of the country that will be particularly vulnerable to the retreat of care institutions, and provide timely interventions in these communities to support continued access to care.</w:t>
      </w:r>
    </w:p>
    <w:p>
      <w:pPr>
        <w:pStyle w:val="Normal"/>
        <w:spacing w:lineRule="auto" w:line="480" w:before="0" w:after="0"/>
        <w:ind w:firstLine="708"/>
        <w:contextualSpacing/>
        <w:jc w:val="both"/>
        <w:rPr>
          <w:rFonts w:ascii="Times New Roman" w:hAnsi="Times New Roman" w:cs="Times New Roman"/>
          <w:lang w:val="en-US"/>
        </w:rPr>
      </w:pPr>
      <w:r>
        <w:rPr>
          <w:rFonts w:cs="Times New Roman" w:ascii="Times New Roman" w:hAnsi="Times New Roman"/>
          <w:lang w:val="en-US"/>
        </w:rPr>
        <w:t xml:space="preserve">The outcomes of this study also inform policy makers on the extent to which citizen collectives are capable of starting a self-reinforcing transition, which can help steer effective policy to promote the emergence of new collectives. Additionally, we learn whether local governments, which have been shown to be more hesitant towards citizen collectives than their national counterpart </w:t>
      </w:r>
      <w:r>
        <w:fldChar w:fldCharType="begin"/>
      </w:r>
      <w:r>
        <w:rPr>
          <w:rFonts w:cs="Times New Roman" w:ascii="Times New Roman" w:hAnsi="Times New Roman"/>
          <w:lang w:val="en-US"/>
        </w:rPr>
        <w:instrText xml:space="preserve">ADDIN ZOTERO_ITEM CSL_CITATION {"citationID":"Gu6WV6m2","properties":{"formattedCitation":"(Bokhorst 2015; Boumans et al. 2015; de Bruijn et al. 2016)","plainCitation":"(Bokhorst 2015; Boumans et al. 2015; de Bruijn et al. 2016)","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40,"uris":["http://zotero.org/users/local/KhtVq53Q/items/LZRMVICG",["http://zotero.org/users/local/KhtVq53Q/items/LZRMVICG"]],"itemData":{"id":40,"type":"article-journal","container-title":"Journal of Social Intervention: Theory and Practice","DOI":"10.18352/jsi.441","ISSN":"1876-8830","issue":"4","journalAbbreviation":"JSI","page":"23","source":"DOI.org (Crossref)","title":"Zorgcoöperaties: een wetenschappelijke verkenning vanuit drie perspectieven","title-short":"Zorgcoöperaties","volume":"24","author":[{"family":"Boumans","given":"Jogé"},{"family":"Swinkels","given":"Winke"},{"family":"Van de Goor","given":"Ien"},{"family":"Luijkx","given":"Katrien"}],"issued":{"date-parts":[["2015",12,17]]}}},{"id":22,"uris":["http://zotero.org/users/local/KhtVq53Q/items/FRZSRYJY",["http://zotero.org/users/local/KhtVq53Q/items/FRZSRYJY"]],"itemData":{"id":22,"type":"document","language":"Dutch","publisher":"Movisie &amp; Vilans","title":"Wat knelt? Knelpunten bij burgerinitiatieven in zorg en ondersteuning","URL":"https://www.movisie.nl/sites/movisie.nl/files/publication-attachment/wat-knelt%20%5BMOV-10821990-1.0%5D.pdf","author":[{"family":"Bruijn","given":"D","non-dropping-particle":"de"},{"family":"Nourozi","given":"S"},{"family":"Xanten","given":"H","non-dropping-particle":"van"},{"family":"Turnhout","given":"S"},{"family":"Jong","given":"F","non-dropping-particle":"de"},{"family":"Veer","given":"K","non-dropping-particle":"van der"}],"issued":{"date-parts":[["2016"]]}}}],"schema":"https://github.com/citation-style-language/schema/raw/master/csl-citation.json"}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(Bokhorst 2015; Boumans et al. 2015; de Bruijn et al. 2016)</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are an important facilitator of such a transition. </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b/>
          <w:b/>
          <w:bCs/>
          <w:lang w:val="en-US"/>
        </w:rPr>
      </w:pPr>
      <w:r>
        <w:rPr>
          <w:rFonts w:cs="Times New Roman" w:ascii="Times New Roman" w:hAnsi="Times New Roman"/>
          <w:b/>
          <w:bCs/>
          <w:lang w:val="en-US"/>
        </w:rPr>
        <w:t>Theory</w:t>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t>Clust</w:t>
      </w:r>
      <w:r>
        <w:rPr>
          <w:rFonts w:cs="Times New Roman" w:ascii="Times New Roman" w:hAnsi="Times New Roman"/>
          <w:i/>
          <w:iCs/>
        </w:rPr>
        <w:t>ering based on underlying characteristics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There are several reasons to expect that citizen collectives for care are located relatively near to one another. However, not all of these arguments require any direct or indirect influence between the collectives. It may be that other factors, that are related to the emergence of care collectives, are spatially correlated. For instance, qualitative research has argued that the emergence of care collectives is motivated by the demand for care services </w:t>
      </w:r>
      <w:r>
        <w:fldChar w:fldCharType="begin"/>
      </w:r>
      <w:r>
        <w:rPr>
          <w:rFonts w:cs="Times New Roman" w:ascii="Times New Roman" w:hAnsi="Times New Roman"/>
          <w:lang w:val="en-US"/>
        </w:rPr>
        <w:instrText xml:space="preserve">ADDIN ZOTERO_ITEM CSL_CITATION {"citationID":"0hDYf3M6","properties":{"formattedCitation":"(Van Opstal 2011)","plainCitation":"(Van Opstal 2011)","noteIndex":0},"citationItems":[{"id":181,"uris":["http://zotero.org/users/local/KhtVq53Q/items/8AIE23K9",["http://zotero.org/users/local/KhtVq53Q/items/8AIE23K9"]],"itemData":{"id":181,"type":"document","abstract":"In dit rapport inventariseren we enerzijds vraagstukken, maar laten we ons anderzijds ook inspireren door voorbeelden uit het buitenland voor het aanwenden van de coöperatie als organisatievorm binnen de zorgsector. We vertrekken daarbij vanuit de vaststelling dat in ons land de nood aan kapstokken en businessmodellen om te komen tot een succesvolle en maatschappelijk wenselijke implementatie van de coöperatie op dit domein groot is en dit zowel binnen werkveld als beleid. Na een bondige inleiding tot de rol die coöperaties in de zorgsector kunnen spelen en een inventarisatie van de vraagstukken die we hieromtrent kunnen optekenen, belichten we twee cases: Nederland en Italië. De eerste case illustreren we met inzichten uit een studiebezoek aan het Nederlandse Stichting Zet. De tweede case distilleren we uit een studiemoment in samenwerking met twee vertegenwoordigers van het Italiaanse Confcooperative. Na een bespreking van deze cases ronden we af met lessen die we kunnen trekken","publisher":"CESOC-KHLeuven; Leuven","title":"Coöperaties in zorg. Een verkenning van vraagstukken en goede praktijken in binnen- en buitenland","URL":"$$Uhttps://lirias.kuleuven.be/retrieve/220099$$DRapport.pdf [freely available]","author":[{"family":"Van Opstal","given":"Wim"}],"issued":{"date-parts":[["2011"]]}}}],"schema":"https://github.com/citation-style-language/schema/raw/master/csl-citation.json"}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Opstal 2011)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In practice, this is often expressed as a relatively large group of elderly residents </w:t>
      </w:r>
      <w:r>
        <w:fldChar w:fldCharType="begin"/>
      </w:r>
      <w:r>
        <w:rPr>
          <w:rFonts w:cs="Times New Roman" w:ascii="Times New Roman" w:hAnsi="Times New Roman"/>
          <w:lang w:val="en-US"/>
        </w:rPr>
        <w:instrText xml:space="preserve">ADDIN ZOTERO_ITEM CSL_CITATION {"citationID":"NvW3k8Dg","properties":{"formattedCitation":"(Bokhorst 2015; van der Knaap et al. 2019)","plainCitation":"(Bokhorst 2015; van der Knaap et al. 2019)","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(Bokhorst 2015; van der Knaap et al.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since the majority of care collectives is primarily geared towards care for elderly residents </w:t>
      </w:r>
      <w:r>
        <w:fldChar w:fldCharType="begin"/>
      </w:r>
      <w:r>
        <w:rPr>
          <w:rFonts w:cs="Times New Roman" w:ascii="Times New Roman" w:hAnsi="Times New Roman"/>
          <w:lang w:val="en-US"/>
        </w:rPr>
        <w:instrText xml:space="preserve">ADDIN ZOTERO_ITEM CSL_CITATION {"citationID":"Cl2mGj2T","properties":{"formattedCitation":"(de Moor et al. 2020)","plainCitation":"(de Moor et al. 2020)","noteIndex":0},"citationItems":[{"id":242,"uris":["http://zotero.org/users/local/KhtVq53Q/items/5VU3UD6N"],"itemData":{"id":242,"type":"report","page":"28","publisher":"Erasmus Rotterdam School of Management","title":"KRACHTIGER ALS COLLECTIEF UITDAGINGEN VAN BURGERCOLLECTIEVEN IN NEDERLAND, ANNO 2020","URL":"http://www.collective-action.info/sites/default/files/webmaster/Krachtiger%20collectief%20onderzoeksverslag_2020.pdf","author":[{"family":"Moor","given":"Tine","non-dropping-particle":"de"},{"family":"Duffhues","given":"Ton"},{"family":"Karlas","given":"Eline"},{"family":"Veldsink","given":"Carolien"}],"issued":{"date-parts":[["2020"]]}}}],"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 Moor et al. 2020)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Necessity has also been linked to the distance to primary care services such as hospitals or a general practitioners </w:t>
      </w:r>
      <w:r>
        <w:fldChar w:fldCharType="begin"/>
      </w:r>
      <w:r>
        <w:rPr>
          <w:rFonts w:cs="Times New Roman" w:ascii="Times New Roman" w:hAnsi="Times New Roman"/>
          <w:lang w:val="en-US"/>
        </w:rPr>
        <w:instrText xml:space="preserve">ADDIN ZOTERO_ITEM CSL_CITATION {"citationID":"I560Hel2","properties":{"formattedCitation":"(Denters et al. 2013; van der Knaap et al. 2019)","plainCitation":"(Denters et al. 2013; van der Knaap et al. 2019)","noteIndex":0},"citationItems":[{"id":38,"uris":["http://zotero.org/users/local/KhtVq53Q/items/2UL5G3H5",["http://zotero.org/users/local/KhtVq53Q/items/2UL5G3H5"]],"itemData":{"id":38,"type":"document","publisher":"Platform 31","title":"Burgers maken hun buurt","URL":"http://www.platform31.nl/uploads/attachment_file/41/Publicatie_Burgers_maken_hun_buurt.pdf","author":[{"family":"Denters","given":"Sebastianus","suffix":"A.H."},{"family":"Tonkens","given":"Evelien"},{"family":"Verhoeven","given":"Imrat"},{"family":"Bakker","given":"Judith"}],"issued":{"date-parts":[["2013"]]}}},{"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(Denters et al. 2013; van der Knaap et al.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We know that demographics such as age, as well as the availability of care services, are themselves spatially correlated and unevenly distributed in the Netherlands. For instance, reports from Statistics Netherlands show that the (predominantly rural) eastern and southern border regions of the country age most rapidly, while the major (western) cities have become increasingly youthful </w:t>
      </w:r>
      <w:r>
        <w:fldChar w:fldCharType="begin"/>
      </w:r>
      <w:r>
        <w:rPr>
          <w:rFonts w:cs="Times New Roman" w:ascii="Times New Roman" w:hAnsi="Times New Roman"/>
          <w:lang w:val="en-US"/>
        </w:rPr>
        <w:instrText xml:space="preserve">ADDIN ZOTERO_ITEM CSL_CITATION {"citationID":"c80Jr51n","properties":{"formattedCitation":"(CBS 2016)","plainCitation":"(CBS 2016)","noteIndex":0},"citationItems":[{"id":260,"uris":["http://zotero.org/users/local/KhtVq53Q/items/7MSQ4UBE",["http://zotero.org/users/local/KhtVq53Q/items/7MSQ4UBE"]],"itemData":{"id":260,"type":"post-weblog","abstract":"Nieuwsbericht gebaseerd op Bevolkingsontwikkeling; regio per maand.","language":"Dutch","title":"Vergrijzing meest toegenomen in Limburg.","URL":"https://www.cbs.nl/nl-nl/nieuws/2016/27/vergrijzing-meest-toegenomen-in-limburg","author":[{"family":"CBS","given":""}],"accessed":{"date-parts":[["2023",6,27]]},"issued":{"date-parts":[["2016",5,7]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(CBS 2016)</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Additionally, the average distance to the nearest hospital is three times higher for the northern provinces than the Dutch national average </w:t>
      </w:r>
      <w:r>
        <w:fldChar w:fldCharType="begin"/>
      </w:r>
      <w:r>
        <w:rPr>
          <w:rFonts w:cs="Times New Roman" w:ascii="Times New Roman" w:hAnsi="Times New Roman"/>
          <w:lang w:val="en-US"/>
        </w:rPr>
        <w:instrText xml:space="preserve">ADDIN ZOTERO_ITEM CSL_CITATION {"citationID":"RCO6k44O","properties":{"formattedCitation":"(CBS 2009)","plainCitation":"(CBS 2009)","noteIndex":0},"citationItems":[{"id":261,"uris":["http://zotero.org/users/local/KhtVq53Q/items/3ZC29KG4",["http://zotero.org/users/local/KhtVq53Q/items/3ZC29KG4"]],"itemData":{"id":261,"type":"post-weblog","abstract":"Gebaseerd op Nabijheid voorzieningen","language":"Dutch","title":"Meeste Nederlanders wonen binnen 5 kilometer van ziekenhuis","URL":"https://www.cbs.nl/nl-nl/nieuws/2009/33/meeste-nederlanders-wonen-binnen-5-kilometer-van-ziekenhuis","author":[{"family":"CBS","given":""}],"accessed":{"date-parts":[["2023",6,27]]},"issued":{"date-parts":[["2009",12,8]]}}}],"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(CBS 2009)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Next to demand, the existence of care collectives also depends on various forms of capital. Research to date has shown that the initiators of citizen collectives for care often have extensive knowledge of the care domain and municipal arrangements </w:t>
      </w:r>
      <w:r>
        <w:fldChar w:fldCharType="begin"/>
      </w:r>
      <w:r>
        <w:rPr>
          <w:rFonts w:cs="Times New Roman" w:ascii="Times New Roman" w:hAnsi="Times New Roman"/>
          <w:lang w:val="en-US"/>
        </w:rPr>
        <w:instrText xml:space="preserve">ADDIN ZOTERO_ITEM CSL_CITATION {"citationID":"Bvn3L7Jp","properties":{"formattedCitation":"(Dorssers 2013)","plainCitation":"(Dorssers 2013)","noteIndex":0},"citationItems":[{"id":31,"uris":["http://zotero.org/users/local/KhtVq53Q/items/ZJ49UJ55",["http://zotero.org/users/local/KhtVq53Q/items/ZJ49UJ55"]],"itemData":{"id":31,"type":"document","title":"Een regenboog aan zorgcollectieven. Zelfsturende zorgkracht in Limburg","author":[{"family":"Dorssers","given":"Els"}],"issued":{"date-parts":[["2013",11]]}}}],"schema":"https://github.com/citation-style-language/schema/raw/master/csl-citation.json"}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(Dorssers 2013)</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Not only is there a higher abundance of such human capital in certain areas, increasing the pool of potential candidates to initiate such a collective, but the level of (economic) resources of the larger residential community has also been linked to the mobilization of citizens for collective action at large (&lt;reference&gt;). Relevant experience with collective action may also be a valuable form of capital for the emergence of citizen collectives for care. Historically, collective arrangements in the agricultural sector (</w:t>
      </w:r>
      <w:r>
        <w:rPr>
          <w:rFonts w:cs="Times New Roman" w:ascii="Times New Roman" w:hAnsi="Times New Roman"/>
          <w:i/>
          <w:iCs/>
          <w:lang w:val="en-US"/>
        </w:rPr>
        <w:t>commons</w:t>
      </w:r>
      <w:r>
        <w:rPr>
          <w:rFonts w:cs="Times New Roman" w:ascii="Times New Roman" w:hAnsi="Times New Roman"/>
          <w:lang w:val="en-US"/>
        </w:rPr>
        <w:t xml:space="preserve">) were common to specific provinces of the Netherlands (e.g. Brabant and northern parts of Limburg, </w:t>
      </w:r>
      <w:r>
        <w:fldChar w:fldCharType="begin"/>
      </w:r>
      <w:r>
        <w:rPr>
          <w:rFonts w:cs="Times New Roman" w:ascii="Times New Roman" w:hAnsi="Times New Roman"/>
          <w:lang w:val="en-US"/>
        </w:rPr>
        <w:instrText xml:space="preserve">ADDIN ZOTERO_ITEM CSL_CITATION {"citationID":"60ugDEbW","properties":{"formattedCitation":"(De Moor 2008)","plainCitation":"(De Moor 2008)","dontUpdate":true,"noteIndex":0},"citationItems":[{"id":12,"uris":["http://zotero.org/users/local/KhtVq53Q/items/TW5QW96I",["http://zotero.org/users/local/KhtVq53Q/items/TW5QW96I"]],"itemData":{"id":12,"type":"article-journal","container-title":"International Review of Social History","DOI":"10.1017/S0020859008003660","ISSN":"0020-8590, 1469-512X","issue":"S16","journalAbbreviation":"Int Rev of Soc His","language":"en","page":"179-212","source":"DOI.org (Crossref)","title":"The Silent Revolution: A New Perspective on the Emergence of Commons, Guilds, and Other Forms of Corporate Collective Action in Western Europe","title-short":"The Silent Revolution","volume":"53","author":[{"family":"De Moor","given":"Tine"}],"issued":{"date-parts":[["2008",12]]}}}],"schema":"https://github.com/citation-style-language/schema/raw/master/csl-citation.json"}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 Moor 2008)</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This historical origin of collective action may have translated into relevant (institutionalized) experience with collective action in these regions, which can facilitate current day collectives in the care domain in these areas, contributing to spatially clustered patterns of emergence.</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Finally, citizen collectives are often dependent on support from local governments, such as for funding or housing. A recent survey among a convenience sample of care collectives in the Netherlands shows that 82% of them receive some form of financial support from the municipality while a little under half indicates an intensive or very intensive collaboration with their municipality</w:t>
      </w:r>
      <w:r>
        <w:rPr>
          <w:rStyle w:val="FootnoteAnchor"/>
        </w:rPr>
        <w:footnoteReference w:id="2"/>
      </w:r>
      <w:r>
        <w:rPr>
          <w:rFonts w:cs="Times New Roman" w:ascii="Times New Roman" w:hAnsi="Times New Roman"/>
          <w:lang w:val="en-US"/>
        </w:rPr>
        <w:t>. It is therefore likely that citizen collectives are clustered within municipalities that fulfill the conditions for these collectives to emerge (for instance due to their political orientation), causing spatial correlation at the local level.</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Taken together, we expect that citizen collectives for care are spatially correlated, in part due to the correlation of factors that are related to the emergence of citizen collectives. We derive the following hypothesis: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H1: There is a positive association between the presence of a citizen collective for care in a region, and the presence of citizen collectives for care in the surrounding regions.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Clustering through diffusion</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It may also be the case that citizen collectives for care are clustered because the existence of a collective in one region actually fosters the emergence of similar collectives in the surrounding area. Support for this notion can be found in the set of values and practices that is shared among (most) initiatives, as documented in the ‘cooperative principles’ of the International Cooperative Alliance </w:t>
      </w:r>
      <w:r>
        <w:fldChar w:fldCharType="begin"/>
      </w:r>
      <w:r>
        <w:rPr>
          <w:rFonts w:cs="Times New Roman" w:ascii="Times New Roman" w:hAnsi="Times New Roman"/>
          <w:lang w:val="en-US"/>
        </w:rPr>
        <w:instrText xml:space="preserve">ADDIN ZOTERO_ITEM CSL_CITATION {"citationID":"pRqv0YHW","properties":{"formattedCitation":"(ICA n.d.)","plainCitation":"(ICA n.d.)","noteIndex":0},"citationItems":[{"id":176,"uris":["http://zotero.org/users/local/KhtVq53Q/items/KHUU9CE9",["http://zotero.org/users/local/KhtVq53Q/items/KHUU9CE9"]],"itemData":{"id":176,"type":"webpage","title":"Cooperative identity, values &amp; principles","URL":"https://www.ica.coop/en/cooperatives/cooperative-identity","author":[{"family":"ICA","given":""}],"accessed":{"date-parts":[["2021",12,10]]}}}],"schema":"https://github.com/citation-style-language/schema/raw/master/csl-citation.json"}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(ICA n.d.)</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These pertain to values of open membership and democratic control, but they also explicate the goal for citizen collectives to cooperate with each other and to support the emergence of new collectives. In practice, we observe anecdotal evidence that initiators of (prospective) collectives make visits to other collectives to gather knowledge and information </w:t>
      </w:r>
      <w:r>
        <w:fldChar w:fldCharType="begin"/>
      </w:r>
      <w:r>
        <w:rPr>
          <w:rFonts w:cs="Times New Roman" w:ascii="Times New Roman" w:hAnsi="Times New Roman"/>
          <w:lang w:val="en-US"/>
        </w:rPr>
        <w:instrText xml:space="preserve">ADDIN ZOTERO_ITEM CSL_CITATION {"citationID":"Rd5D5DAR","properties":{"formattedCitation":"(Anon 2021)","plainCitation":"(Anon 2021)","noteIndex":0},"citationItems":[{"id":107,"uris":["http://zotero.org/users/local/KhtVq53Q/items/8GTV749U",["http://zotero.org/users/local/KhtVq53Q/items/8GTV749U"]],"itemData":{"id":107,"type":"webpage","abstract":"Voorbeelden","container-title":"NLZVE","language":"nl","title":"Praktijkvoorbeelden","URL":"https://www.nlzorgtvoorelkaar.nl/helpdesk/praktijkvoorbeelden/default.aspx","accessed":{"date-parts":[["2021",3,10]]},"issued":{"date-parts":[["2021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(Anon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In addition, qualitative research suggests that information about care collectives spreads between citizens, since being invited into a care collective by a neighbor was found to be an important reason for membership </w:t>
      </w:r>
      <w:r>
        <w:fldChar w:fldCharType="begin"/>
      </w:r>
      <w:r>
        <w:rPr>
          <w:rFonts w:cs="Times New Roman" w:ascii="Times New Roman" w:hAnsi="Times New Roman"/>
          <w:lang w:val="en-US"/>
        </w:rPr>
        <w:instrText xml:space="preserve">ADDIN ZOTERO_ITEM CSL_CITATION {"citationID":"yD92QSGz","properties":{"formattedCitation":"(Bokhorst 2015; Veening 2016)","plainCitation":"(Bokhorst 2015; Veening 2016)","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20,"uris":["http://zotero.org/users/local/KhtVq53Q/items/NM9MXLKI",["http://zotero.org/users/local/KhtVq53Q/items/NM9MXLKI"]],"itemData":{"id":20,"type":"thesis","event-place":"Utrecht","language":"Dutch","publisher":"Utrecht University","publisher-place":"Utrecht","title":"Zorgcoöperaties, duurzame burgerinitiatieven?","URL":"https://dspace.library.uu.nl/bitstream/handle/1874/335313/Masterthesis%20AZP%20Lianne%20Veening.pdf?sequence=2","author":[{"family":"Veening","given":"Lianne"}],"accessed":{"date-parts":[["2020",4,1]]},"issued":{"date-parts":[["2016",1,6]]}}}],"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(Bokhorst 2015; Veening 2016)</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While invitation relates to the involvement of citizens into an existing collective for care, the fact that information about care collective spreads between citizens could also inspire the emergence of new collectives in nearby areas.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More generally, these examples can be categorized as ‘horizontal diffusion’ </w:t>
      </w:r>
      <w:r>
        <w:fldChar w:fldCharType="begin"/>
      </w:r>
      <w:r>
        <w:rPr>
          <w:rFonts w:cs="Times New Roman" w:ascii="Times New Roman" w:hAnsi="Times New Roman"/>
          <w:lang w:val="en-US"/>
        </w:rPr>
        <w:instrText xml:space="preserve">ADDIN ZOTERO_ITEM CSL_CITATION {"citationID":"M63Q16bG","properties":{"formattedCitation":"(Zhu 2014)","plainCitation":"(Zhu 2014)","noteIndex":0},"citationItems":[{"id":303,"uris":["http://zotero.org/users/local/KhtVq53Q/items/ZMJUT7SD"],"itemData":{"id":303,"type":"article-journal","container-title":"Public Management Review","DOI":"10.1080/14719037.2013.798028","ISSN":"1471-9037, 1471-9045","issue":"1","journalAbbreviation":"Public Management Review","language":"en","page":"117-139","source":"DOI.org (Crossref)","title":"Mandate Versus Championship: Vertical government intervention and diffusion of innovation in public services in authoritarian China","title-short":"Mandate Versus Championship","volume":"16","author":[{"family":"Zhu","given":"Xufeng"}],"issued":{"date-parts":[["2014",1,2]]}}}],"schema":"https://github.com/citation-style-language/schema/raw/master/csl-citation.json"}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(Zhu 2014)</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(diffusion between entities that are on equal hierarchical standing, rather than having a supervisor-subordinate relation). Horizontal diffusion is rooted in well-established theory for diffusion of innovations </w:t>
      </w:r>
      <w:r>
        <w:fldChar w:fldCharType="begin"/>
      </w:r>
      <w:r>
        <w:rPr>
          <w:rFonts w:cs="Times New Roman" w:ascii="Times New Roman" w:hAnsi="Times New Roman"/>
          <w:lang w:val="en-US"/>
        </w:rPr>
        <w:instrText xml:space="preserve">ADDIN ZOTERO_ITEM CSL_CITATION {"citationID":"ZauM71fH","properties":{"formattedCitation":"(Rogers 1983)","plainCitation":"(Rogers 1983)","noteIndex":0},"citationItems":[{"id":292,"uris":["http://zotero.org/users/local/KhtVq53Q/items/XUDN6TX8",["http://zotero.org/users/local/KhtVq53Q/items/XUDN6TX8"]],"itemData":{"id":292,"type":"book","call-number":"HM101 .R57 1983","edition":"3rd ed","event-place":"New York : London","ISBN":"978-0-02-926650-2","number-of-pages":"453","publisher":"Free Press ; Collier Macmillan","publisher-place":"New York : London","source":"Library of Congress ISBN","title":"Diffusion of innovations","author":[{"family":"Rogers","given":"Everett M."}],"issued":{"date-parts":[["1983"]]}}}],"schema":"https://github.com/citation-style-language/schema/raw/master/csl-citation.json"}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(e.g. Rogers 1983)</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Adoption of behavior through diffusion is argued to arise from knowledge and awareness of new concepts (i.e. collective organization of care services) that are introduced through social interactions. These ties are subsequently argued to provide persuasion to adopt a new (collective) behavior. Note that persuasion does not have to equal coercion through peer-pressure or argument exchange. It may also take shape as imitation of behavior that is perceived to be successful or the adoption of norms that the behavior signals. The framework of diffusion of innovation has garnered widespread empirical support, for instance concerning health-related behaviors such as drug-use </w:t>
      </w:r>
      <w:r>
        <w:fldChar w:fldCharType="begin"/>
      </w:r>
      <w:r>
        <w:rPr>
          <w:rFonts w:cs="Times New Roman" w:ascii="Times New Roman" w:hAnsi="Times New Roman"/>
          <w:lang w:val="en-US"/>
        </w:rPr>
        <w:instrText xml:space="preserve">ADDIN ZOTERO_ITEM CSL_CITATION {"citationID":"a98A3GMu","properties":{"formattedCitation":"(Ferrence 2001)","plainCitation":"(Ferrence 2001)","noteIndex":0},"citationItems":[{"id":300,"uris":["http://zotero.org/users/local/KhtVq53Q/items/AR9XFKKE"],"itemData":{"id":300,"type":"article-journal","container-title":"Addiction","DOI":"10.1046/j.1360-0443.2001.96116512.x","ISSN":"09652140","issue":"1","language":"en","page":"165-173","source":"DOI.org (Crossref)","title":"Diffusion theory and drug use","volume":"96","author":[{"family":"Ferrence","given":"Roberta"}],"issued":{"date-parts":[["2001",1]]}}}],"schema":"https://github.com/citation-style-language/schema/raw/master/csl-citation.json"}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(Ferrence 2001)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but also at the level of policy-adoption between legislative districts </w:t>
      </w:r>
      <w:r>
        <w:fldChar w:fldCharType="begin"/>
      </w:r>
      <w:r>
        <w:rPr>
          <w:rFonts w:cs="Times New Roman" w:ascii="Times New Roman" w:hAnsi="Times New Roman"/>
          <w:lang w:val="en-US"/>
        </w:rPr>
        <w:instrText xml:space="preserve">ADDIN ZOTERO_ITEM CSL_CITATION {"citationID":"rs52HdjN","properties":{"formattedCitation":"(Berry and Berry 1990)","plainCitation":"(Berry and Berry 1990)","noteIndex":0},"citationItems":[{"id":302,"uris":["http://zotero.org/users/local/KhtVq53Q/items/C7VNMG3E"],"itemData":{"id":302,"type":"article-journal","abstract":"Two types of explanations of state government innovation have been proposed:\n              internal determinants\n              models (which posit that the factors causing a state government to innovate are political, economic, and social characteristics of a state) and\n              regional diffusion\n              models (which point toward the role of policy adoptions by neighboring states in prompting a state to adopt). We show that the two are conceptually compatible, relying on Mohr's theory of organizational innovation. Then we develop and test a unified explanation of state lottery adoptions reflecting both internal and regional influences. The empirical results provide a great degree of support for Mohr's theory. For the empirical analysis, we rely on\n              event history analysis\n              , a form of pooled cross-sectional time series analysis, which we believe may be useful in a wide variety of subfields of political science. Event history analysis may be able to explain important forms of political behavior (by individuals, organizations, or governments) even if they occur only rarely.","container-title":"American Political Science Review","DOI":"10.2307/1963526","ISSN":"0003-0554, 1537-5943","issue":"2","journalAbbreviation":"Am Polit Sci Rev","language":"en","page":"395-415","source":"DOI.org (Crossref)","title":"State Lottery Adoptions as Policy Innovations: An Event History Analysis","title-short":"State Lottery Adoptions as Policy Innovations","volume":"84","author":[{"family":"Berry","given":"Frances Stokes"},{"family":"Berry","given":"William D."}],"issued":{"date-parts":[["1990",6]]}}}],"schema":"https://github.com/citation-style-language/schema/raw/master/csl-citation.json"}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(Berry and Berry 1990)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At the same time, it remains unclear to what extent this literature on diffusion translates to collective action among citizens. In part, this is because citizen collectives are inherently bottom-up collective phenomena, which means that diffusion between citizens does not straightforwardly translate to collective adoption. In addition, it is unclear whether information about collective organization of care disseminates to citizens in areas that are in close geographic proximity, and the complex interactions between citizens that are involved in providing care for the community differ strongly from the context of product adoption by consumers, for which diffusion of innovation theory was originally developed.</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Empirical assessments of a diffusion process among care collectives are scarce and their results are inconclusive. This is likely due to different measures for diffusion and insufficient control for spurious explanations. To illustrate, one study has found that, within the care domain, the emergence of a new collective is more likely if another (care) collective is nearby,  based on a negative linear relation between the existence of a care collective in a region and the distance to the nearest collective </w:t>
      </w:r>
      <w:r>
        <w:fldChar w:fldCharType="begin"/>
      </w:r>
      <w:r>
        <w:rPr>
          <w:rFonts w:cs="Times New Roman" w:ascii="Times New Roman" w:hAnsi="Times New Roman"/>
          <w:lang w:val="en-US"/>
        </w:rPr>
        <w:instrText xml:space="preserve">ADDIN ZOTERO_ITEM CSL_CITATION {"citationID":"yIyVZJab","properties":{"formattedCitation":"(van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der Knaap et al.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While the authors themselves attribute this to a mechanism of ‘learning models for collective action’, and thus to a form of diffusion between collectives, they are not yet able to provide empirical support for this explanation over spurious alternatives. Another recent study (Wittenberg, 2023 (forthcoming), found no evidence that the presence of a care collective was more likely if other collectives were present in the same municipality. While these studies used very similar data, neither of them used a direct measure of spatial correlation, and they controlled for different correlates in their analyses (nearly all of which will be present in our data-driven approach to accounting for spurious explanations).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In summary, we expect that citizen collectives for care are clustered for reasons above and beyond the clustering of community characteristics that correlate with the presence of collectives. Instead, we argue that (prospective) collectives and their members influence the emergence of new collectives through the exchange of knowledge and norms. Thus, we expect that care collectives remain clustered even when we account for potential correlates (this operationalization is extensively covered in the methodology section). We derive the following hypothesis: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H2: There is a positive association between the presence of a citizen collective for care in a region, and the presence of citizen collectives for care in the surrounding regions, after adjusting for underlying spatial correlates. </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Diffusion through legitimacy and institutional change</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While diffusion may occur directly between initiatives and their members, it may also take a more indirect form. Multiple studies have highlighted that collectives and their institutional partners (i.e. municipalities, health insurance companies and care providers) often have (initial) difficulty to cooperate. From the perspective of collectives, they fail to be seen as a legitimate partner, since their structure often does not match well yet with the ‘system world’ in which their partners are embedded. For municipalities and insurance companies, collectives do not meet the standard institutional requirements to guarantee transparency and accountability. Previous work has highlighted that these differences may be overcome through conversation between these partners and through learning how to work together.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Not all care collectives are unique in this regard, and it is possible that the presence of pre-existing collectives may help new collectives to bypass this phase of initial difficulty by ‘inheriting’ some of the legitimacy that has been obtained by previously found collectives for care. Such processes have already been demonstrated for citizen collectives in the domain of renewable energy in Germany </w:t>
      </w:r>
      <w:r>
        <w:fldChar w:fldCharType="begin"/>
      </w:r>
      <w:r>
        <w:rPr>
          <w:rFonts w:cs="Times New Roman" w:ascii="Times New Roman" w:hAnsi="Times New Roman"/>
          <w:lang w:val="en-US"/>
        </w:rPr>
        <w:instrText xml:space="preserve">ADDIN ZOTERO_ITEM CSL_CITATION {"citationID":"mElMO3t3","properties":{"formattedCitation":"(Punt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Here, local density of renewable energy collectives was found to exert a positive influence on the emergence of new energy collectives in the same district, which the authors argue highlights legitimizing processes. In line with other research on citizen collectives </w:t>
      </w:r>
      <w:r>
        <w:fldChar w:fldCharType="begin"/>
      </w:r>
      <w:r>
        <w:rPr>
          <w:rFonts w:cs="Times New Roman" w:ascii="Times New Roman" w:hAnsi="Times New Roman"/>
          <w:lang w:val="en-US"/>
        </w:rPr>
        <w:instrText xml:space="preserve">ADDIN ZOTERO_ITEM CSL_CITATION {"citationID":"Tnv5MqbT","properties":{"formattedCitation":"(De Moor 2013)","plainCitation":"(De Moor 2013)","noteIndex":0},"citationItems":[{"id":257,"uris":["http://zotero.org/users/local/KhtVq53Q/items/2VC734X7",["http://zotero.org/users/local/KhtVq53Q/items/2VC734X7"]],"itemData":{"id":257,"type":"book","ISBN":"978-94-6103-034-4","publisher":"Universiteit Utrecht, Faculteit Geesteswetenschappen","title":"Homo cooperans. Instituties voor collective actie en de solidaire samenleving.","author":[{"family":"De Moor","given":"Tine"}],"issued":{"date-parts":[["2013"]]}}}],"schema":"https://github.com/citation-style-language/schema/raw/master/csl-citation.json"}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(De Moor 2013)</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they find no evidence that diffusion of collectives is undermined by competition among them. Moreover, they find that this legitimization may even work across domains, as the presence of collectively arranged institutions in other sectors was also positively related to the founding rate of collectives in the district </w:t>
      </w:r>
      <w:r>
        <w:fldChar w:fldCharType="begin"/>
      </w:r>
      <w:r>
        <w:rPr>
          <w:rFonts w:cs="Times New Roman" w:ascii="Times New Roman" w:hAnsi="Times New Roman"/>
          <w:lang w:val="en-US"/>
        </w:rPr>
        <w:instrText xml:space="preserve">ADDIN ZOTERO_ITEM CSL_CITATION {"citationID":"zN7vwSty","properties":{"formattedCitation":"(Punt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We cannot conclusively distinguish between diffusion that occurs directly through collectives and their members, and diffusion that happens indirectly, through legitimization and experience that other institutions gain from working with collectives. However, we expect that legitimization and experience is more contained to areas under the same local legislation than other (direct) forms of diffusion. This is because the same limited number of policy-makers and officials will be responsible for interaction with all care collectives in a municipality. In addition, municipalities have been given increased legislative responsibilities in the funding and maintenance of care services since 2015 in the Netherlands </w:t>
      </w:r>
      <w:r>
        <w:fldChar w:fldCharType="begin"/>
      </w:r>
      <w:r>
        <w:rPr>
          <w:rFonts w:cs="Times New Roman" w:ascii="Times New Roman" w:hAnsi="Times New Roman"/>
          <w:lang w:val="en-US"/>
        </w:rPr>
        <w:instrText xml:space="preserve">ADDIN ZOTERO_ITEM CSL_CITATION {"citationID":"gYNbv2yT","properties":{"formattedCitation":"(Thomese et al. 2017)","plainCitation":"(Thomese et al. 2017)","noteIndex":0},"citationItems":[{"id":258,"uris":["http://zotero.org/users/local/KhtVq53Q/items/KGYWB8Q4",["http://zotero.org/users/local/KhtVq53Q/items/KGYWB8Q4"]],"itemData":{"id":258,"type":"article-journal","container-title":"Tijdschrift voor gezondheidswetenschappen","DOI":"10.1007/s12508-017-0047-4","ISSN":"1388-7491, 1876-8776","issue":"4","journalAbbreviation":"Tijdschr Gezondheidswet","language":"nl","page":"151-152","source":"DOI.org (Crossref)","title":"Decentralisatie in de langdurige zorg en sociaal-economische gezondheidsverschillen onder ouderen: gemengde gevolgen","title-short":"Decentralisatie in de langdurige zorg en sociaal-economische gezondheidsverschillen onder ouderen","volume":"95","author":[{"family":"Thomese","given":"Fleur"},{"family":"Kok","given":"Almar"},{"family":"Broese van Groenou","given":"Marjolein"},{"family":"Bannink","given":"Duco"},{"family":"Huisman","given":"Martijn"}],"issued":{"date-parts":[["2017",7]]}}}],"schema":"https://github.com/citation-style-language/schema/raw/master/csl-citation.json"}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(Thomese et al. 2017)</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Therefore, we expect that diffusion (i.e. spatial clustering after adjusting for correlates) will be stronger within municipal borders than across municipal borders. We derive the following hypothesis: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 </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H3: The association between the presence of a citizen collective for care in a region, and the presence of citizen collectives for care in the surrounding regions is stronger if the fraction of surrounding regions that fall within the borders of other municipalities is higher.</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b/>
          <w:b/>
          <w:bCs/>
          <w:lang w:val="en-US"/>
        </w:rPr>
      </w:pPr>
      <w:r>
        <w:rPr>
          <w:rFonts w:cs="Times New Roman" w:ascii="Times New Roman" w:hAnsi="Times New Roman"/>
          <w:b/>
          <w:bCs/>
          <w:lang w:val="en-US"/>
        </w:rPr>
        <w:t>Data &amp; Methodology</w:t>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Introduction to the data-driven approach</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In order to distinguish between the theoretical mechanisms, it is important to distinguish between spatial clustering of care collectives and spatial clustering of their correlates. Conventionally, we would do so by incorporating relevant spatial control variables in the statistical analysis based on previous theoretical and empirical work. However, research into the emergence of care collective is scarce, and very much in development, offering little guidance on the variables to include.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Therefore, we argue for a two-step approach. In the first step, we estimate a data-driven predictive model for the existence of a care collective in a region based on a large body of administrative data for that region. The benefit of a data-driven approach is that all available information can be used to find the most predictive model of care collectives based solely on the data. Problems such as overfitting and model identification can be prevented in this approach through best practices from the emerging field of machine learning/statistical learning such as cross-validation, which will be addressed later.</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In the second step of our approach, we calculate the residuals of this predictive model, which will reflect the extent to which the presence of a collective cannot be attributed to the traits of that particular region. Next, we calculate the spatial correlation of these residuals with the residuals of the surrounding regions. Under the assumption that all relevant spatial correlates are included in the model, this will reflect the extent to which care collective are spatially correlated, irrespective of their correlates. This, we argue, provides a measure for the strength of spatial diffusion of citizen collectives for care. This two-step approach utilizes best practices of machine learning literature to account for confounding effects, while allowing for conventional statistical inference for the hypotheses, based on the estimated spatial correlation.</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Data sources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To identify the regions where a care collective is present, we use an inventory of 1482 care collectives from Nederland Zorgt voor Elkaar (NLZVE), a network and interest group of Dutch care collectives. This inventory was constructed by NLZVE from two sources. The first is a list of self-reported care collectives that registered on the website of NLZVE. The second is an inquiry among the informal network of care professionals, legislators and members of local networks of care collectives that were known to NLZVE. The snapshot of this inventory that we have obtained contains all care collectives that were registered before April 27</w:t>
      </w:r>
      <w:r>
        <w:rPr>
          <w:rFonts w:cs="Times New Roman" w:ascii="Times New Roman" w:hAnsi="Times New Roman"/>
          <w:vertAlign w:val="superscript"/>
          <w:lang w:val="en-US"/>
        </w:rPr>
        <w:t>th</w:t>
      </w:r>
      <w:r>
        <w:rPr>
          <w:rFonts w:cs="Times New Roman" w:ascii="Times New Roman" w:hAnsi="Times New Roman"/>
          <w:lang w:val="en-US"/>
        </w:rPr>
        <w:t>, 2021.</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The lowest level for which these locational data are recorded is the four-digit zipcode level, which we consider to be a believably relevant level of measurement for the communities that organize and/or make use of care collectives (For further argumentation on this topic, see </w:t>
      </w:r>
      <w:r>
        <w:fldChar w:fldCharType="begin"/>
      </w:r>
      <w:r>
        <w:rPr>
          <w:rFonts w:cs="Times New Roman" w:ascii="Times New Roman" w:hAnsi="Times New Roman"/>
          <w:lang w:val="en-US"/>
        </w:rPr>
        <w:instrText xml:space="preserve">ADDIN ZOTERO_ITEM CSL_CITATION {"citationID":"eXYxnGGX","properties":{"formattedCitation":"(van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der Knaap et al.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and Wittenberg, 2023 (forthcoming). In total, there are 4068 of these zipcode areas in The Netherlands.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We combine these data with publicly available register data on the four-digit zipcode level from </w:t>
      </w:r>
      <w:r>
        <w:rPr>
          <w:rFonts w:cs="Times New Roman" w:ascii="Times New Roman" w:hAnsi="Times New Roman"/>
          <w:i/>
          <w:iCs/>
          <w:lang w:val="en-US"/>
        </w:rPr>
        <w:t>Statistics Netherlands</w:t>
      </w:r>
      <w:r>
        <w:rPr>
          <w:rFonts w:cs="Times New Roman" w:ascii="Times New Roman" w:hAnsi="Times New Roman"/>
          <w:lang w:val="en-US"/>
        </w:rPr>
        <w:t xml:space="preserve"> (CBS), which is a Dutch governmental institution that collects social and economic statistical information to support research, policy and public debate. Since </w:t>
      </w:r>
      <w:r>
        <w:rPr>
          <w:rFonts w:cs="Times New Roman" w:ascii="Times New Roman" w:hAnsi="Times New Roman"/>
          <w:i/>
          <w:iCs/>
          <w:lang w:val="en-US"/>
        </w:rPr>
        <w:t>CBS</w:t>
      </w:r>
      <w:r>
        <w:rPr>
          <w:rFonts w:cs="Times New Roman" w:ascii="Times New Roman" w:hAnsi="Times New Roman"/>
          <w:lang w:val="en-US"/>
        </w:rPr>
        <w:t xml:space="preserve"> only releases a limited amount of information at this level of aggregation (149 variables), we complement this with weighted information at the neighborhood/district level. In doing so, we distinguish between variables that represent relative numbers and absolute numbers. For relative numbers, we aggregate district-level variables as a weighted sum, based on the number of addresses of a zipcode that lie in each district with which it overlaps (this is explained further in Appendix A). For absolute numbers, we identify which fraction of the district lies inside of a zipcode, weight the values by this fraction, and then sum them. This results in the addition of 113 variables. Another benefit of this approach is that for some variables that overlap between these two data sources, the zipcode-level information is missing, while the corresponding district-level information is not. The combined administrative data covers a wide range of topics. It contains information about demographics of the zipcode areas, such as the number of inhabitants, the number of migrants from different origin countries, and the age distribution. It also contains economic information, such as the income distribution, average house prices, employment, the fraction of rented homes and social housing arrangements. Information about the availability of services, such as the average distance to the hospital, general practitioner, supermarket and school is also included. And finally, it contains information about geospatial features, such as the surface area of the zipcode, the fraction of the surface covered by water, the urbanity of the environment, the distribution of land usage and the municipality to which a zipcode belongs.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Finally, we add information on municipal election outcomes in 2018 (the most recent elections with temporal precedence to our outcome of interest) from the </w:t>
      </w:r>
      <w:r>
        <w:rPr>
          <w:rFonts w:cs="Times New Roman" w:ascii="Times New Roman" w:hAnsi="Times New Roman"/>
          <w:i/>
          <w:iCs/>
          <w:lang w:val="en-US"/>
        </w:rPr>
        <w:t>Kiesraad</w:t>
      </w:r>
      <w:r>
        <w:rPr>
          <w:rFonts w:cs="Times New Roman" w:ascii="Times New Roman" w:hAnsi="Times New Roman"/>
          <w:lang w:val="en-US"/>
        </w:rPr>
        <w:t xml:space="preserve"> institute to have a measure of the political climate in a municipality. To do so, we parse official election data in Extensible Markup Language (XML) per municipality into an R-readable table that summarizes the relative number of votes per party. We additionally convert these votes into a score that indicates the average political orientation of the municipality from a weighted sum of all party votes based on the average perception of these parties on the left-to-rightwing spectrum among the Dutch population (as recorded in the Political Barometer in 2018 and 2019 by Ipsos Research </w:t>
      </w:r>
      <w:r>
        <w:fldChar w:fldCharType="begin"/>
      </w:r>
      <w:r>
        <w:rPr>
          <w:rFonts w:cs="Times New Roman" w:ascii="Times New Roman" w:hAnsi="Times New Roman"/>
          <w:lang w:val="en-US"/>
        </w:rPr>
        <w:instrText xml:space="preserve">ADDIN ZOTERO_ITEM CSL_CITATION {"citationID":"22KNQKox","properties":{"formattedCitation":"(van Heck 2019)","plainCitation":"(van Heck 2019)","noteIndex":0},"citationItems":[{"id":264,"uris":["http://zotero.org/users/local/KhtVq53Q/items/AG9NUZHH",["http://zotero.org/users/local/KhtVq53Q/items/AG9NUZHH"]],"itemData":{"id":264,"type":"post-weblog","container-title":"Politiek met Sjoerd","language":"Dutch","title":"Politieke partijen in Nederland: eenheidsworst of niet?","URL":"https://www.ipsos.com/nl-nl/politiek-met-sjoerd-politieke-partijen-nederland-eenheidsworst-niet","author":[{"family":"Heck","given":"Sjoerd","non-dropping-particle":"van"}],"accessed":{"date-parts":[["2023",7,17]]},"issued":{"date-parts":[["2019",9,7]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(van Heck 2019)</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t>Data preprocessing</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First, we label missing values in the data. Most missing values result from a very low prevalence of certain groups of residents in some zipcode areas, which poses a risk of identification and their information is therefore removed by CBS. Other missing values are caused by missing election data for some polling stations. We subsequently remove uninformative columns (e.g. constant values or unique identifiers) and split the remaining data into two parts: The training data (80% of the zipcodes) and the hold-out data (20% of the zipcodes). In line with best practice in data-driven modelling</w:t>
      </w:r>
      <w:r>
        <w:rPr>
          <w:rStyle w:val="FootnoteAnchor"/>
          <w:rFonts w:cs="Times New Roman" w:ascii="Times New Roman" w:hAnsi="Times New Roman"/>
          <w:lang w:val="en-US"/>
        </w:rPr>
        <w:footnoteReference w:id="3"/>
      </w:r>
      <w:r>
        <w:rPr>
          <w:rFonts w:cs="Times New Roman" w:ascii="Times New Roman" w:hAnsi="Times New Roman"/>
          <w:lang w:val="en-US"/>
        </w:rPr>
        <w:t xml:space="preserve">, we will use the training part of the data to find the best-fitting model, and we will use the hold-out part of the data to evaluate the predictions of this model </w:t>
      </w:r>
      <w:r>
        <w:fldChar w:fldCharType="begin"/>
      </w:r>
      <w:r>
        <w:rPr>
          <w:rFonts w:cs="Times New Roman" w:ascii="Times New Roman" w:hAnsi="Times New Roman"/>
          <w:lang w:val="en-US"/>
        </w:rPr>
        <w:instrText xml:space="preserve">ADDIN ZOTERO_ITEM CSL_CITATION {"citationID":"N6jxH8ZK","properties":{"formattedCitation":"(Tan et al. 2021)","plainCitation":"(Tan et al. 2021)","noteIndex":0},"citationItems":[{"id":278,"uris":["http://zotero.org/users/local/KhtVq53Q/items/QCAMFQX2",["http://zotero.org/users/local/KhtVq53Q/items/QCAMFQX2"]],"itemData":{"id":278,"type":"report","abstract":"The randomized or cross-validated split of training and testing sets has been adopted as the gold standard of machine learning for decades. The establishment of these split protocols are based on two assumptions: (i)-fixing the dataset to be eternally static so we could evaluate different machine learning algorithms or models; (ii)-there is a complete set of annotated data available to researchers or industrial practitioners. However, in this article, we intend to take a closer and critical look at the split protocol itself and point out its weakness and limitation, especially for industrial applications. In many real-world problems, we must acknowledge that there are numerous situations where assumption (ii) does not hold. For instance, for interdisciplinary applications like drug discovery, it often requires real lab experiments to annotate data which poses huge costs in both time and financial considerations. In other words, it can be very difficult or even impossible to satisfy assumption (ii). In this article, we intend to access this problem and reiterate the paradigm of active learning, and investigate its potential on solving problems under unconventional train/test split protocols. We further propose a new adaptive active learning architecture (AAL) which involves an adaptation policy, in comparison with the traditional active learning that only unidirectionally adds data points to the training pool. We primarily justify our points by extensively investigating an interdisciplinary drug-protein binding problem. We additionally evaluate AAL on more conventional machine learning benchmarking datasets like CIFAR-10 to demonstrate the generalizability and efficacy of the new framework.","note":"arXiv:2106.04525 [cs]","number":"arXiv:2106.04525","publisher":"arXiv","source":"arXiv.org","title":"A critical look at the current train/test split in machine learning","URL":"http://arxiv.org/abs/2106.04525","author":[{"family":"Tan","given":"Jimin"},{"family":"Yang","given":"Jianan"},{"family":"Wu","given":"Sai"},{"family":"Chen","given":"Gang"},{"family":"Zhao","given":"Jake"}],"accessed":{"date-parts":[["2023",9,6]]},"issued":{"date-parts":[["2021",6,8]]}}}],"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(Tan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In this way, we prevent inflated performance metrics due to overfitting, and ensure we evaluate model performance on data that the model has not yet encountered. We preserve the distribution of the target variable (binary indicator for the presence of at least one care collective in a zipcode) in both data partitions. </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 xml:space="preserve">We then process and clean up the training data. Missing values are imputed using bagged trees imputation, which can accommodate the co-occurrence of missing values due to zipcodes with few inhabitants </w:t>
      </w:r>
      <w:r>
        <w:fldChar w:fldCharType="begin"/>
      </w:r>
      <w:r>
        <w:rPr>
          <w:rFonts w:cs="Times New Roman" w:ascii="Times New Roman" w:hAnsi="Times New Roman"/>
          <w:lang w:val="en-US"/>
        </w:rPr>
        <w:instrText xml:space="preserve">ADDIN ZOTERO_ITEM CSL_CITATION {"citationID":"i3Bqo2FZ","properties":{"formattedCitation":"(Saar-Tsechansky and Provost 2007)","plainCitation":"(Saar-Tsechansky and Provost 2007)","noteIndex":0},"citationItems":[{"id":263,"uris":["http://zotero.org/users/local/KhtVq53Q/items/YLZI7B3T",["http://zotero.org/users/local/KhtVq53Q/items/YLZI7B3T"]],"itemData":{"id":263,"type":"article-journal","container-title":"J. Mach. Learn. Res.","page":"1623-1657","title":"Handling Missing Values when Applying Classification Models","volume":"8","author":[{"family":"Saar-Tsechansky","given":"Maytal"},{"family":"Provost","given":"Foster J."}],"issued":{"date-parts":[["2007"]]}}}],"schema":"https://github.com/citation-style-language/schema/raw/master/csl-citation.json"}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(Saar-Tsechansky and Provost 2007)</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produce values that are within the range of the observed data and are relatively computationally inexpensive </w:t>
      </w:r>
      <w:r>
        <w:fldChar w:fldCharType="begin"/>
      </w:r>
      <w:r>
        <w:rPr>
          <w:rFonts w:cs="Times New Roman" w:ascii="Times New Roman" w:hAnsi="Times New Roman"/>
          <w:lang w:val="en-US"/>
        </w:rPr>
        <w:instrText xml:space="preserve">ADDIN ZOTERO_ITEM CSL_CITATION {"citationID":"2RdGJuZr","properties":{"formattedCitation":"(Kuhn and Johnson 2020)","plainCitation":"(Kuhn and Johnson 2020)","noteIndex":0},"citationItems":[{"id":273,"uris":["http://zotero.org/users/local/KhtVq53Q/items/ABTAIL7K",["http://zotero.org/users/local/KhtVq53Q/items/ABTAIL7K"]],"itemData":{"id":273,"type":"book","collection-title":"Chapman &amp; Hall/CRC data science series","event-place":"Boca Raton London New York","ISBN":"978-1-138-07922-9","language":"eng","number-of-pages":"297","publisher":"CRC Press, Taylor &amp; Francis Group","publisher-place":"Boca Raton London New York","source":"K10plus ISBN","title":"Feature engineering and selection: a practical approach for predictive models","title-short":"Feature engineering and selection","author":[{"family":"Kuhn","given":"Max"},{"family":"Johnson","given":"Kjell"}],"issued":{"date-parts":[["2020"]]}}}],"schema":"https://github.com/citation-style-language/schema/raw/master/csl-citation.json"}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(Kuhn and Johnson 2020)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Numeric variables are standardized (251 variables). Categorical variables with few categories (&lt; 10) are coded into binary indicators (10 variables). To prevent a large number of sparse features, we convert categorical variables with more categories (1 variable) to numeric values based on the mean outcome of each category (this ‘Leave-One-Out-Target-Encoding’ is increasingly common practice for such cases, see </w:t>
      </w:r>
      <w:r>
        <w:fldChar w:fldCharType="begin"/>
      </w:r>
      <w:r>
        <w:rPr>
          <w:rFonts w:cs="Times New Roman" w:ascii="Times New Roman" w:hAnsi="Times New Roman"/>
          <w:lang w:val="en-US"/>
        </w:rPr>
        <w:instrText xml:space="preserve">ADDIN ZOTERO_ITEM CSL_CITATION {"citationID":"OufIcIfj","properties":{"formattedCitation":"(Baesens, Roesch, and Scheule 2016)","plainCitation":"(Baesens, Roesch, and Scheule 2016)","dontUpdate":true,"noteIndex":0},"citationItems":[{"id":288,"uris":["http://zotero.org/users/local/KhtVq53Q/items/QBWXD7JT",["http://zotero.org/users/local/KhtVq53Q/items/QBWXD7JT"]],"itemData":{"id":288,"type":"book","call-number":"HG3751","collection-title":"Wiley &amp; SAS business series","event-place":"Hoboken, New Jersey","ISBN":"978-1-119-27834-4","number-of-pages":"1","publisher":"Wiley","publisher-place":"Hoboken, New Jersey","source":"Library of Congress ISBN","title":"Credit risk analytics: measurement techniques, applications, and examples in SAS","title-short":"Credit risk analytics","author":[{"family":"Baesens","given":"Bart"},{"family":"Roesch","given":"Daniel"},{"family":"Scheule","given":"Harald"}],"issued":{"date-parts":[["2016"]]}}}],"schema":"https://github.com/citation-style-language/schema/raw/master/csl-citation.json"}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Baesens, Roesch, and Scheule 2016</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The hold-out data subsequently follows the same processing steps. However, imputation is now performed using the bagged trees that were estimated on the training data. Scaling is done using the mean and variance of the training data. Categorical observations that were not present in the training data were coded as ‘unknown’, and target means from the training data were used to encode the categories.</w:t>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Model selection</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Since our outcome variable is binary (i.e. it has two labels: the presence or absence of one or more care collectives), we are interested in finding the model that can predict the correct label for the largest number of zipcodes. In machine learning literature, this is referred to as a ‘classification task’ </w:t>
      </w:r>
      <w:r>
        <w:fldChar w:fldCharType="begin"/>
      </w:r>
      <w:r>
        <w:rPr>
          <w:rFonts w:cs="Times New Roman" w:ascii="Times New Roman" w:hAnsi="Times New Roman"/>
          <w:lang w:val="en-US"/>
        </w:rPr>
        <w:instrText xml:space="preserve">ADDIN ZOTERO_ITEM CSL_CITATION {"citationID":"JpyARJ5A","properties":{"formattedCitation":"(Kotsiantis 2007)","plainCitation":"(Kotsiantis 2007)","noteIndex":0},"citationItems":[{"id":281,"uris":["http://zotero.org/users/local/KhtVq53Q/items/D35ISA2F",["http://zotero.org/users/local/KhtVq53Q/items/D35ISA2F"]],"itemData":{"id":281,"type":"paper-conference","abstract":"The goal of supervised learning is to build a concise model of the distribution of class labels in terms of predictor features. The resulting classifier is then used to assign class labels to the testing instances where the values of the predictor features are known, but the value of the class label is unknown. This paper describes various supervised machine learning classification techniques. Of course, a single chapter cannot be a complete review of all supervised machine learning classification algorithms (also known induction classification algorithms), yet we hope that the references cited will cover the major theoretical issues, guiding the researcher in interesting research directions and suggesting possible bias combinations that have yet to be explored.","container-title":"Proceedings of the 2007 Conference on Emerging Artificial Intelligence Applications in Computer Engineering: Real Word AI Systems with Applications in EHealth, HCI, Information Retrieval and Pervasive Technologies","event-place":"NLD","ISBN":"978-1-58603-780-2","page":"3–24","publisher":"IOS Press","publisher-place":"NLD","title":"Supervised Machine Learning: A Review of Classification Techniques","author":[{"family":"Kotsiantis","given":"S. B."}],"issued":{"date-parts":[["2007"]]}}}],"schema":"https://github.com/citation-style-language/schema/raw/master/csl-citation.json"}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(Kotsiantis 2007)</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One method that is able to perform such a classification task is logistic regression. Logistic regression is a parsimonious linear model that yields predicted probabilities for each label of the outcome variable. There are also other methods that can perform this task, that are not constrained to linear relations and are thus more flexible. Some of these methods are based on decision trees, while others are based on finding the optimal boundary in parameter space (maximizing the margins) along which the two classes can be separated </w:t>
      </w:r>
      <w:r>
        <w:fldChar w:fldCharType="begin"/>
      </w:r>
      <w:r>
        <w:rPr>
          <w:rFonts w:cs="Times New Roman" w:ascii="Times New Roman" w:hAnsi="Times New Roman"/>
          <w:lang w:val="en-US"/>
        </w:rPr>
        <w:instrText xml:space="preserve">ADDIN ZOTERO_ITEM CSL_CITATION {"citationID":"hLlM3O9x","properties":{"formattedCitation":"(Mahesh 2020)","plainCitation":"(Mahesh 2020)","noteIndex":0},"citationItems":[{"id":304,"uris":["http://zotero.org/users/local/KhtVq53Q/items/YGEQFG6M"],"itemData":{"id":304,"type":"article-journal","container-title":"International Journal of Science and Research","ISSN":"2319-7064","issue":"1","journalAbbreviation":"IJSR","language":"English","title":"Machine Learning Algorithms—A Review.","volume":"9","author":[{"family":"Mahesh","given":"Batta"}],"issued":{"date-parts":[["2020"]]}}}],"schema":"https://github.com/citation-style-language/schema/raw/master/csl-citation.json"}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(Mahesh 2020)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In addition, while each of these methods has certain parameters that are estimated based on the data, there are also parameters that need to be specified by the researcher, such as the number of decision trees used by a random forest. These are called hyperparameters </w:t>
      </w:r>
      <w:r>
        <w:fldChar w:fldCharType="begin"/>
      </w:r>
      <w:r>
        <w:rPr>
          <w:rFonts w:cs="Times New Roman" w:ascii="Times New Roman" w:hAnsi="Times New Roman"/>
          <w:lang w:val="en-US"/>
        </w:rPr>
        <w:instrText xml:space="preserve">ADDIN ZOTERO_ITEM CSL_CITATION {"citationID":"XnIzDq2Q","properties":{"formattedCitation":"(Probst, Bischl, and Boulesteix 2018)","plainCitation":"(Probst, Bischl, and Boulesteix 2018)","noteIndex":0},"citationItems":[{"id":307,"uris":["http://zotero.org/users/local/KhtVq53Q/items/VAKKNRXV"],"itemData":{"id":307,"type":"article-journal","abstract":"Modern supervised machine learning algorithms involve hyperparameters that have to be set before running them. Options for setting hyperparameters are default values from the software package, manual configuration by the user or configuring them for optimal predictive performance by a tuning procedure. The goal of this paper is two-fold. Firstly, we formalize the problem of tuning from a statistical point of view, define data-based defaults and suggest general measures quantifying the tunability of hyperparameters of algorithms. Secondly, we conduct a large-scale benchmarking study based on 38 datasets from the OpenML platform and six common machine learning algorithms. We apply our measures to assess the tunability of their parameters. Our results yield default values for hyperparameters and enable users to decide whether it is worth conducting a possibly time consuming tuning strategy, to focus on the most important hyperparameters and to chose adequate hyperparameter spaces for tuning.","DOI":"10.48550/ARXIV.1802.09596","license":"arXiv.org perpetual, non-exclusive license","note":"publisher: arXiv\nversion: 3","source":"DOI.org (Datacite)","title":"Tunability: Importance of Hyperparameters of Machine Learning Algorithms","title-short":"Tunability","URL":"https://arxiv.org/abs/1802.09596","author":[{"family":"Probst","given":"Philipp"},{"family":"Bischl","given":"Bernd"},{"family":"Boulesteix","given":"Anne-Laure"}],"accessed":{"date-parts":[["2023",10,30]]},"issued":{"date-parts":[["2018"]]}}}],"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(Probst, Bischl, and Boulesteix 2018)</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Since each method has its own strengths and weaknesses, and no method or combination of hyperparameters consistently out-performs another for every possible classification task, it is typical for data-driven modelling to compare different methods and combinations of hyperparameters.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For this study, we create a matrix of hyperparameter combinations for four of the most common and successful method that are used for classification tasks on survey/administrative data: </w:t>
      </w:r>
      <w:r>
        <w:rPr>
          <w:rFonts w:cs="Times New Roman" w:ascii="Times New Roman" w:hAnsi="Times New Roman"/>
          <w:i/>
          <w:iCs/>
          <w:lang w:val="en-US"/>
        </w:rPr>
        <w:t>XGBoost</w:t>
      </w:r>
      <w:r>
        <w:rPr>
          <w:rFonts w:cs="Times New Roman" w:ascii="Times New Roman" w:hAnsi="Times New Roman"/>
          <w:lang w:val="en-US"/>
        </w:rPr>
        <w:t xml:space="preserve">, </w:t>
      </w:r>
      <w:r>
        <w:rPr>
          <w:rFonts w:cs="Times New Roman" w:ascii="Times New Roman" w:hAnsi="Times New Roman"/>
          <w:i/>
          <w:iCs/>
          <w:lang w:val="en-US"/>
        </w:rPr>
        <w:t>Random Forest</w:t>
      </w:r>
      <w:r>
        <w:rPr>
          <w:rFonts w:cs="Times New Roman" w:ascii="Times New Roman" w:hAnsi="Times New Roman"/>
          <w:lang w:val="en-US"/>
        </w:rPr>
        <w:t xml:space="preserve">, </w:t>
      </w:r>
      <w:r>
        <w:rPr>
          <w:rFonts w:cs="Times New Roman" w:ascii="Times New Roman" w:hAnsi="Times New Roman"/>
          <w:i/>
          <w:iCs/>
          <w:lang w:val="en-US"/>
        </w:rPr>
        <w:t>Logistic regression</w:t>
      </w:r>
      <w:r>
        <w:rPr>
          <w:rFonts w:cs="Times New Roman" w:ascii="Times New Roman" w:hAnsi="Times New Roman"/>
          <w:lang w:val="en-US"/>
        </w:rPr>
        <w:t xml:space="preserve"> (</w:t>
      </w:r>
      <w:r>
        <w:rPr>
          <w:rFonts w:cs="Times New Roman" w:ascii="Times New Roman" w:hAnsi="Times New Roman"/>
          <w:i/>
          <w:iCs/>
          <w:lang w:val="en-US"/>
        </w:rPr>
        <w:t>GLM</w:t>
      </w:r>
      <w:r>
        <w:rPr>
          <w:rFonts w:cs="Times New Roman" w:ascii="Times New Roman" w:hAnsi="Times New Roman"/>
          <w:lang w:val="en-US"/>
        </w:rPr>
        <w:t>) &amp;</w:t>
      </w:r>
      <w:r>
        <w:rPr>
          <w:rFonts w:cs="Times New Roman" w:ascii="Times New Roman" w:hAnsi="Times New Roman"/>
          <w:i/>
          <w:iCs/>
          <w:lang w:val="en-US"/>
        </w:rPr>
        <w:t xml:space="preserve"> Support Vector Machine (SVM)</w:t>
      </w:r>
      <w:r>
        <w:rPr>
          <w:rFonts w:cs="Times New Roman" w:ascii="Times New Roman" w:hAnsi="Times New Roman"/>
          <w:lang w:val="en-US"/>
        </w:rPr>
        <w:t xml:space="preserve"> </w:t>
      </w:r>
      <w:r>
        <w:fldChar w:fldCharType="begin"/>
      </w:r>
      <w:r>
        <w:rPr>
          <w:rFonts w:cs="Times New Roman" w:ascii="Times New Roman" w:hAnsi="Times New Roman"/>
          <w:lang w:val="en-US"/>
        </w:rPr>
        <w:instrText xml:space="preserve">ADDIN ZOTERO_ITEM CSL_CITATION {"citationID":"n8Xb5PpQ","properties":{"formattedCitation":"(Kotsiantis 2007; Shwartz-Ziv and Armon 2022)","plainCitation":"(Kotsiantis 2007; Shwartz-Ziv and Armon 2022)","noteIndex":0},"citationItems":[{"id":281,"uris":["http://zotero.org/users/local/KhtVq53Q/items/D35ISA2F",["http://zotero.org/users/local/KhtVq53Q/items/D35ISA2F"]],"itemData":{"id":281,"type":"paper-conference","abstract":"The goal of supervised learning is to build a concise model of the distribution of class labels in terms of predictor features. The resulting classifier is then used to assign class labels to the testing instances where the values of the predictor features are known, but the value of the class label is unknown. This paper describes various supervised machine learning classification techniques. Of course, a single chapter cannot be a complete review of all supervised machine learning classification algorithms (also known induction classification algorithms), yet we hope that the references cited will cover the major theoretical issues, guiding the researcher in interesting research directions and suggesting possible bias combinations that have yet to be explored.","container-title":"Proceedings of the 2007 Conference on Emerging Artificial Intelligence Applications in Computer Engineering: Real Word AI Systems with Applications in EHealth, HCI, Information Retrieval and Pervasive Technologies","event-place":"NLD","ISBN":"978-1-58603-780-2","page":"3–24","publisher":"IOS Press","publisher-place":"NLD","title":"Supervised Machine Learning: A Review of Classification Techniques","author":[{"family":"Kotsiantis","given":"S. B."}],"issued":{"date-parts":[["2007"]]}}},{"id":276,"uris":["http://zotero.org/users/local/KhtVq53Q/items/JNISBRAK",["http://zotero.org/users/local/KhtVq53Q/items/JNISBRAK"]],"itemData":{"id":276,"type":"article-journal","container-title":"Information Fusion","DOI":"10.1016/j.inffus.2021.11.011","ISSN":"15662535","journalAbbreviation":"Information Fusion","language":"en","page":"84-90","source":"DOI.org (Crossref)","title":"Tabular data: Deep learning is not all you need","title-short":"Tabular data","volume":"81","author":[{"family":"Shwartz-Ziv","given":"Ravid"},{"family":"Armon","given":"Amitai"}],"issued":{"date-parts":[["2022",5]]}}}],"schema":"https://github.com/citation-style-language/schema/raw/master/csl-citation.json"}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(Kotsiantis 2007; Shwartz-Ziv and Armon 2022)</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We evaluate the performance of these combinations using the overall accuracy metric (i.e. the fraction of zipcodes for which the presence or absence of a collective is correctly predicted). In order to prevent overfitting, we make use of four-fold cross-validation (each model is fit four times on 75% of the data and evaluated on the remaining 25%, see </w:t>
      </w:r>
      <w:r>
        <w:fldChar w:fldCharType="begin"/>
      </w:r>
      <w:r>
        <w:rPr>
          <w:rFonts w:cs="Times New Roman" w:ascii="Times New Roman" w:hAnsi="Times New Roman"/>
          <w:lang w:val="en-US"/>
        </w:rPr>
        <w:instrText xml:space="preserve">ADDIN ZOTERO_ITEM CSL_CITATION {"citationID":"9lEOlxf8","properties":{"formattedCitation":"(Arlot and Celisse 2010)","plainCitation":"(Arlot and Celisse 2010)","dontUpdate":true,"noteIndex":0},"citationItems":[{"id":286,"uris":["http://zotero.org/users/local/KhtVq53Q/items/44Z4ZBEX",["http://zotero.org/users/local/KhtVq53Q/items/44Z4ZBEX"]],"itemData":{"id":286,"type":"article-journal","container-title":"Statistics Surveys","DOI":"10.1214/09-SS054","ISSN":"1935-7516","issue":"none","journalAbbreviation":"Statist. Surv.","source":"DOI.org (Crossref)","title":"A survey of cross-validation procedures for model selection","URL":"https://projecteuclid.org/journals/statistics-surveys/volume-4/issue-none/A-survey-of-cross-validation-procedures-for-model-selection/10.1214/09-SS054.full","volume":"4","author":[{"family":"Arlot","given":"Sylvain"},{"family":"Celisse","given":"Alain"}],"accessed":{"date-parts":[["2023",9,6]]},"issued":{"date-parts":[["2010",1,1]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Arlot and Celisse 2010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If the optimal hyperparameters for any method are found to be on the boundary of the considered parameter space, we tune the model again, scaling the parameter in question further up or down until either the optimum value is no longer on the boundary of the considered parameter space, or the absolute parameter boundary is reached (e.g. the fraction of columns that are considered in any tree of a random forest cannot exceed 1, which is a natural boundary for this hyperparameter). After this process, also known as ‘tuning’, the model with the highest overall accuracy is selected as the best-fitting model.</w:t>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Operationalization &amp; analytical strategy</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After choosing the best-fitting model in the data-driven procedure above, residuals of this model (the presence of a citizen collective minus the predicted probability) are calculated for each zipcode area using leave-one-out estimation. That is, for each zipcode, the selected model (consisting of the method and the associated best-performing hyperparameters) is re-trained on all zipcodes except the zipcode of interest, and this fitted model is used to generate a prediction and residual for the zipcode that is omitted from the training. This ensures that the largest-possible amount of data is used to estimate the model, while minimizing the threat of overfitting, which would cause the residuals to be deflated.</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Subsequently, we are interested in the extent to which these residuals show spatial correlation, which we argue to be indicative that there is some spatial processes underlying the emergence of care collectives that is not attributable to underlying spatial correlation of any correlates that were modelled. To illustrate, suppose that our predictive model can perfectly predict the existence of a care collective in any Dutch zipcode based on the characteristics in the data. In that case, all the residuals would be equal to zero, and there would be no evidence to suggest that there is diffusion of care collectives, since their occurrence can be explained completely from regional characteristics. Alternatively, if the model does not predict the existence of collectives perfectly, then there is a distribution of residuals over the zipcodes. If these residuals do not exhibit spatial correlation, this would suggest that the information that went into the predictive model may have been spatially correlated, but there is still no evidence for diffusion processes. However, if the residuals exhibit a degree of spatial correlation, then we conclude that there is spatial correlation among care collectives in The Netherlands, irrespective of any spatial correlation of their correlates. This, we argue, would support the notion that there is some form of diffusion among the collectives for care.</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 xml:space="preserve">Since the presence/absence of at least one care collective in a zipcode is a binary measure, we use joincounts to assess the ‘raw’ spatial correlation. Joincounts are a statistic based on the number of shared borders between zipcodes that both house at least one collective (so-called 1,1 joins). In order to test whether the presence of collectives is spatially correlated, we compare the observed joincounts to the number of joincounts that we would expect to see in the data under the assumption of random spatial allocation of care collectives. This is common practice to asses spatial clustering of binary variables </w:t>
      </w:r>
      <w:r>
        <w:fldChar w:fldCharType="begin"/>
      </w:r>
      <w:r>
        <w:rPr>
          <w:rFonts w:cs="Times New Roman" w:ascii="Times New Roman" w:hAnsi="Times New Roman"/>
          <w:lang w:val="en-US"/>
        </w:rPr>
        <w:instrText xml:space="preserve">ADDIN ZOTERO_ITEM CSL_CITATION {"citationID":"rBEPaPif","properties":{"formattedCitation":"(Cliff and Ord 1981)","plainCitation":"(Cliff and Ord 1981)","noteIndex":0},"citationItems":[{"id":270,"uris":["http://zotero.org/users/local/KhtVq53Q/items/WZLIK86H",["http://zotero.org/users/local/KhtVq53Q/items/WZLIK86H"]],"itemData":{"id":270,"type":"book","call-number":"QA278.2 .C62","event-place":"London","ISBN":"978-0-85086-081-8","number-of-pages":"266","publisher":"Pion","publisher-place":"London","source":"Library of Congress ISBN","title":"Spatial processes: models &amp; applications","title-short":"Spatial processes","author":[{"family":"Cliff","given":"A. D."},{"family":"Ord","given":"J. K."}],"issued":{"date-parts":[["1981"]]}}}],"schema":"https://github.com/citation-style-language/schema/raw/master/csl-citation.json"}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(Cliff and Ord 1981)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To identify the extent of spatial correlation between the residuals, we use Moran’s I statistic </w:t>
      </w:r>
      <w:r>
        <w:fldChar w:fldCharType="begin"/>
      </w:r>
      <w:r>
        <w:rPr>
          <w:rFonts w:cs="Times New Roman" w:ascii="Times New Roman" w:hAnsi="Times New Roman"/>
          <w:lang w:val="en-US"/>
        </w:rPr>
        <w:instrText xml:space="preserve">ADDIN ZOTERO_ITEM CSL_CITATION {"citationID":"MYYzCYu7","properties":{"formattedCitation":"(Moran 1950)","plainCitation":"(Moran 1950)","noteIndex":0},"citationItems":[{"id":267,"uris":["http://zotero.org/users/local/KhtVq53Q/items/FSGXSTS7",["http://zotero.org/users/local/KhtVq53Q/items/FSGXSTS7"]],"itemData":{"id":267,"type":"article-journal","container-title":"Biometrika","DOI":"10.2307/2332142","ISSN":"00063444","issue":"1/2","journalAbbreviation":"Biometrika","page":"17","source":"DOI.org (Crossref)","title":"Notes on Continuous Stochastic Phenomena","volume":"37","author":[{"family":"Moran","given":"P. A. P."}],"issued":{"date-parts":[["1950",6]]}}}],"schema":"https://github.com/citation-style-language/schema/raw/master/csl-citation.json"}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(Moran 1950)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which is a conventional metric in spatial statistics </w:t>
      </w:r>
      <w:r>
        <w:fldChar w:fldCharType="begin"/>
      </w:r>
      <w:r>
        <w:rPr>
          <w:rFonts w:cs="Times New Roman" w:ascii="Times New Roman" w:hAnsi="Times New Roman"/>
          <w:lang w:val="en-US"/>
        </w:rPr>
        <w:instrText xml:space="preserve">ADDIN ZOTERO_ITEM CSL_CITATION {"citationID":"OiVo6Ckh","properties":{"formattedCitation":"(Cliff and Ord 1981)","plainCitation":"(Cliff and Ord 1981)","noteIndex":0},"citationItems":[{"id":270,"uris":["http://zotero.org/users/local/KhtVq53Q/items/WZLIK86H",["http://zotero.org/users/local/KhtVq53Q/items/WZLIK86H"]],"itemData":{"id":270,"type":"book","call-number":"QA278.2 .C62","event-place":"London","ISBN":"978-0-85086-081-8","number-of-pages":"266","publisher":"Pion","publisher-place":"London","source":"Library of Congress ISBN","title":"Spatial processes: models &amp; applications","title-short":"Spatial processes","author":[{"family":"Cliff","given":"A. D."},{"family":"Ord","given":"J. K."}],"issued":{"date-parts":[["1981"]]}}}],"schema":"https://github.com/citation-style-language/schema/raw/master/csl-citation.json"}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(Cliff and Ord 1981)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It quantifies the average association between attribute values at a location and the values at neighboring locations. The statistic can take on a value between -1 and 1, where positive values indicate a clustering of similar values, negative values suggest dissimilarity, and a value of 0 represents the expected level of spatial clustering under a random distribution of attribute values. Monte Carlo simulation allows for hypothesis testing against the null hypothesis that Moran’s I is equal to 0.</w:t>
      </w:r>
    </w:p>
    <w:p>
      <w:pPr>
        <w:pStyle w:val="Normal"/>
        <w:spacing w:before="0" w:after="0"/>
        <w:ind w:firstLine="708"/>
        <w:jc w:val="both"/>
        <w:rPr>
          <w:rFonts w:ascii="Times New Roman" w:hAnsi="Times New Roman" w:cs="Times New Roman"/>
          <w:lang w:val="en-US"/>
        </w:rPr>
      </w:pPr>
      <w:r>
        <w:rPr>
          <w:rFonts w:cs="Times New Roman" w:ascii="Times New Roman" w:hAnsi="Times New Roman"/>
          <w:lang w:val="en-US"/>
        </w:rPr>
        <w:drawing>
          <wp:anchor behindDoc="0" distT="0" distB="0" distL="114300" distR="114300" simplePos="0" locked="0" layoutInCell="0" allowOverlap="1" relativeHeight="5">
            <wp:simplePos x="0" y="0"/>
            <wp:positionH relativeFrom="margin">
              <wp:align>center</wp:align>
            </wp:positionH>
            <wp:positionV relativeFrom="paragraph">
              <wp:posOffset>219075</wp:posOffset>
            </wp:positionV>
            <wp:extent cx="4800600" cy="2043430"/>
            <wp:effectExtent l="0" t="0" r="0" b="0"/>
            <wp:wrapTopAndBottom/>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4800600" cy="2043430"/>
                    </a:xfrm>
                    <a:prstGeom prst="rect">
                      <a:avLst/>
                    </a:prstGeom>
                  </pic:spPr>
                </pic:pic>
              </a:graphicData>
            </a:graphic>
          </wp:anchor>
        </w:drawing>
      </w:r>
    </w:p>
    <w:p>
      <w:pPr>
        <w:pStyle w:val="Normal"/>
        <w:spacing w:lineRule="auto" w:line="360" w:before="0" w:after="0"/>
        <w:rPr>
          <w:rFonts w:ascii="Times New Roman" w:hAnsi="Times New Roman" w:cs="Times New Roman"/>
          <w:lang w:val="en-US"/>
        </w:rPr>
      </w:pPr>
      <w:r>
        <w:rPr>
          <w:rFonts w:cs="Times New Roman" w:ascii="Times New Roman" w:hAnsi="Times New Roman"/>
          <w:lang w:val="en-US"/>
        </w:rPr>
        <w:t>Figure 1. Example of spatial distributions for Moran’s I values between 1 (perfect clustering) and -1 (perfect dispersion)</w:t>
      </w:r>
    </w:p>
    <w:p>
      <w:pPr>
        <w:pStyle w:val="Normal"/>
        <w:spacing w:lineRule="auto" w:line="240" w:before="0" w:after="0"/>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 xml:space="preserve">We identify adjacent zipcode areas using polygon files from CBS. We make use of the Queen criterion of adjacency, which means that two zipcodes are considered to be neighboring if they share any fraction of their border </w:t>
      </w:r>
      <w:r>
        <w:fldChar w:fldCharType="begin"/>
      </w:r>
      <w:r>
        <w:rPr>
          <w:rFonts w:cs="Times New Roman" w:ascii="Times New Roman" w:hAnsi="Times New Roman"/>
          <w:lang w:val="en-US"/>
        </w:rPr>
        <w:instrText xml:space="preserve">ADDIN ZOTERO_ITEM CSL_CITATION {"citationID":"R2Q9fcaa","properties":{"formattedCitation":"(Anselin 2007)","plainCitation":"(Anselin 2007)","noteIndex":0},"citationItems":[{"id":272,"uris":["http://zotero.org/users/local/KhtVq53Q/items/P4VN8JR7",["http://zotero.org/users/local/KhtVq53Q/items/P4VN8JR7"]],"itemData":{"id":272,"type":"book","publisher":"Spatial Analysis Laboratory","title":"Exploring Spatial Data with GeoDa. A Workbook.","author":[{"family":"Anselin","given":"Luc"}],"issued":{"date-parts":[["2007"]]}}}],"schema":"https://github.com/citation-style-language/schema/raw/master/csl-citation.json"}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(Anselin 2007)</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Finally, we distinguish between the number of inter- and intra-municipal neighbors for each zipcode. We construct a value for each zipcode that reflects the fraction of their neighbors that belong to the same municipality.</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ab/>
        <w:t xml:space="preserve">To test H1, we calculate the joincount statistics for the ‘raw’ binary indicator of the presence of at least one care collective in a zipcode. Then, to test H2, we calculate the Moran’s I statistic on the residuals of the data-driven model instead. Next to the total value of Moran’s I, it is also possible to calculate a local version of the statistic. This then represents the extent to which there is similarity in the presence of care collectives among the neighboring regions of any individual zipcode </w:t>
      </w:r>
      <w:r>
        <w:fldChar w:fldCharType="begin"/>
      </w:r>
      <w:r>
        <w:rPr>
          <w:rFonts w:cs="Times New Roman" w:ascii="Times New Roman" w:hAnsi="Times New Roman"/>
          <w:lang w:val="en-US"/>
        </w:rPr>
        <w:instrText xml:space="preserve">ADDIN ZOTERO_ITEM CSL_CITATION {"citationID":"LEr6kCuK","properties":{"formattedCitation":"(Anselin 2010)","plainCitation":"(Anselin 2010)","noteIndex":0},"citationItems":[{"id":268,"uris":["http://zotero.org/users/local/KhtVq53Q/items/CGTVQMD6",["http://zotero.org/users/local/KhtVq53Q/items/CGTVQMD6"]],"itemData":{"id":268,"type":"article-journal","container-title":"Geographical Analysis","DOI":"10.1111/j.1538-4632.1995.tb00338.x","ISSN":"00167363","issue":"2","language":"en","page":"93-115","source":"DOI.org (Crossref)","title":"Local Indicators of Spatial Association-LISA","volume":"27","author":[{"family":"Anselin","given":"Luc"}],"issued":{"date-parts":[["2010",9,3]]}}}],"schema":"https://github.com/citation-style-language/schema/raw/master/csl-citation.json"}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(Anselin 2010)</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To test H3, we make use of this local Moran’s I statistic to test whether the spatial correlation of residuals is higher for zipcodes in which the fraction of intra-municipal neighbors is larger. We base the fraction of cross-municipal neighbors on administrative data from 2020 by Statistics Netherlands. For a summary of the entire methodological approach, see Figure 2.</w:t>
      </w:r>
    </w:p>
    <w:p>
      <w:pPr>
        <w:pStyle w:val="Normal"/>
        <w:spacing w:lineRule="auto" w:line="240" w:before="0" w:after="0"/>
        <w:rPr>
          <w:rFonts w:ascii="Times New Roman" w:hAnsi="Times New Roman" w:cs="Times New Roman"/>
          <w:lang w:val="en-US"/>
        </w:rPr>
      </w:pPr>
      <w:r>
        <w:rPr>
          <w:rFonts w:cs="Times New Roman" w:ascii="Times New Roman" w:hAnsi="Times New Roman"/>
          <w:lang w:val="en-US"/>
        </w:rPr>
      </w:r>
    </w:p>
    <w:p>
      <w:pPr>
        <w:pStyle w:val="Normal"/>
        <w:spacing w:before="0" w:after="0"/>
        <w:jc w:val="both"/>
        <w:rPr>
          <w:rFonts w:ascii="Times New Roman" w:hAnsi="Times New Roman" w:cs="Times New Roman"/>
          <w:lang w:val="en-US"/>
        </w:rPr>
      </w:pPr>
      <w:r>
        <w:rPr/>
        <w:drawing>
          <wp:inline distT="0" distB="0" distL="0" distR="0">
            <wp:extent cx="5760720" cy="585343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5760720" cy="5853430"/>
                    </a:xfrm>
                    <a:prstGeom prst="rect">
                      <a:avLst/>
                    </a:prstGeom>
                  </pic:spPr>
                </pic:pic>
              </a:graphicData>
            </a:graphic>
          </wp:inline>
        </w:drawing>
      </w:r>
    </w:p>
    <w:p>
      <w:pPr>
        <w:pStyle w:val="Normal"/>
        <w:spacing w:before="0" w:after="0"/>
        <w:jc w:val="both"/>
        <w:rPr>
          <w:rFonts w:ascii="Times New Roman" w:hAnsi="Times New Roman" w:cs="Times New Roman"/>
          <w:lang w:val="en-US"/>
        </w:rPr>
      </w:pPr>
      <w:r>
        <w:rPr>
          <w:rFonts w:cs="Times New Roman" w:ascii="Times New Roman" w:hAnsi="Times New Roman"/>
          <w:lang w:val="en-US"/>
        </w:rPr>
        <w:t>Figure 2. Overview of the methodological process</w:t>
      </w:r>
    </w:p>
    <w:p>
      <w:pPr>
        <w:pStyle w:val="Normal"/>
        <w:spacing w:lineRule="auto" w:line="240" w:before="0" w:after="0"/>
        <w:rPr>
          <w:rFonts w:ascii="Times New Roman" w:hAnsi="Times New Roman" w:cs="Times New Roman"/>
          <w:lang w:val="en-US"/>
        </w:rPr>
      </w:pPr>
      <w:r>
        <w:rPr>
          <w:rFonts w:cs="Times New Roman" w:ascii="Times New Roman" w:hAnsi="Times New Roman"/>
          <w:lang w:val="en-US"/>
        </w:rPr>
      </w:r>
      <w:r>
        <w:br w:type="page"/>
      </w:r>
    </w:p>
    <w:p>
      <w:pPr>
        <w:pStyle w:val="Normal"/>
        <w:spacing w:lineRule="auto" w:line="360" w:before="0" w:after="0"/>
        <w:jc w:val="both"/>
        <w:rPr>
          <w:rFonts w:ascii="Times New Roman" w:hAnsi="Times New Roman" w:cs="Times New Roman"/>
          <w:lang w:val="en-US"/>
        </w:rPr>
      </w:pPr>
      <w:r>
        <w:rPr>
          <w:rFonts w:cs="Times New Roman" w:ascii="Times New Roman" w:hAnsi="Times New Roman"/>
          <w:b/>
          <w:bCs/>
          <w:lang w:val="en-US"/>
        </w:rPr>
        <w:t>Results</w:t>
      </w:r>
    </w:p>
    <w:p>
      <w:pPr>
        <w:pStyle w:val="Normal"/>
        <w:spacing w:lineRule="auto" w:line="360" w:before="0" w:after="0"/>
        <w:jc w:val="both"/>
        <w:rPr>
          <w:rFonts w:ascii="Times New Roman" w:hAnsi="Times New Roman" w:cs="Times New Roman"/>
          <w:i/>
          <w:i/>
          <w:iCs/>
          <w:lang w:val="en-US"/>
        </w:rPr>
      </w:pPr>
      <w:r>
        <w:rPr>
          <w:rFonts w:cs="Times New Roman" w:ascii="Times New Roman" w:hAnsi="Times New Roman"/>
          <w:i/>
          <w:iCs/>
          <w:lang w:val="en-US"/>
        </w:rPr>
        <w:t>Performance of the data-driven model</w:t>
      </w:r>
    </w:p>
    <w:p>
      <w:pPr>
        <w:pStyle w:val="Normal"/>
        <w:spacing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keepNext w:val="true"/>
        <w:spacing w:before="0" w:after="0"/>
        <w:jc w:val="both"/>
        <w:rPr>
          <w:rFonts w:ascii="Times New Roman" w:hAnsi="Times New Roman" w:cs="Times New Roman"/>
          <w:lang w:val="en-US"/>
        </w:rPr>
      </w:pPr>
      <w:r>
        <w:rPr>
          <w:rFonts w:cs="Times New Roman" w:ascii="Times New Roman" w:hAnsi="Times New Roman"/>
          <w:lang w:val="en-US"/>
        </w:rPr>
        <w:t>Table 1. Highest obtained cross-validated accuracy for each classification method.</w:t>
      </w:r>
    </w:p>
    <w:tbl>
      <w:tblPr>
        <w:tblStyle w:val="TableGrid"/>
        <w:tblW w:w="875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49"/>
        <w:gridCol w:w="5105"/>
      </w:tblGrid>
      <w:tr>
        <w:trPr/>
        <w:tc>
          <w:tcPr>
            <w:tcW w:w="3649"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b/>
                <w:b/>
                <w:bCs/>
                <w:lang w:val="en-US"/>
              </w:rPr>
            </w:pPr>
            <w:r>
              <w:rPr>
                <w:rFonts w:eastAsia="Calibri" w:cs="Times New Roman" w:ascii="Times New Roman" w:hAnsi="Times New Roman"/>
                <w:b/>
                <w:bCs/>
                <w:kern w:val="0"/>
                <w:sz w:val="22"/>
                <w:szCs w:val="22"/>
                <w:lang w:val="en-US" w:eastAsia="en-US" w:bidi="ar-SA"/>
              </w:rPr>
              <w:t>Method</w:t>
            </w:r>
          </w:p>
        </w:tc>
        <w:tc>
          <w:tcPr>
            <w:tcW w:w="5105"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b/>
                <w:b/>
                <w:bCs/>
                <w:lang w:val="en-US"/>
              </w:rPr>
            </w:pPr>
            <w:r>
              <w:rPr>
                <w:rFonts w:eastAsia="Calibri" w:cs="Times New Roman" w:ascii="Times New Roman" w:hAnsi="Times New Roman"/>
                <w:b/>
                <w:bCs/>
                <w:kern w:val="0"/>
                <w:sz w:val="22"/>
                <w:szCs w:val="22"/>
                <w:lang w:val="en-US" w:eastAsia="en-US" w:bidi="ar-SA"/>
              </w:rPr>
              <w:t>Highest accuracy for tuned parameters (s.d.)</w:t>
            </w:r>
          </w:p>
        </w:tc>
      </w:tr>
      <w:tr>
        <w:trPr/>
        <w:tc>
          <w:tcPr>
            <w:tcW w:w="3649" w:type="dxa"/>
            <w:tcBorders>
              <w:left w:val="nil"/>
              <w:bottom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Extreme Gradient Boosting (XGB)</w:t>
            </w:r>
          </w:p>
        </w:tc>
        <w:tc>
          <w:tcPr>
            <w:tcW w:w="5105"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.832 (.003)</w:t>
            </w:r>
          </w:p>
        </w:tc>
      </w:tr>
      <w:tr>
        <w:trPr/>
        <w:tc>
          <w:tcPr>
            <w:tcW w:w="3649" w:type="dxa"/>
            <w:tcBorders>
              <w:top w:val="nil"/>
              <w:left w:val="nil"/>
              <w:bottom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Random Forest</w:t>
            </w:r>
          </w:p>
        </w:tc>
        <w:tc>
          <w:tcPr>
            <w:tcW w:w="5105"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.818 (.004)</w:t>
            </w:r>
          </w:p>
        </w:tc>
      </w:tr>
      <w:tr>
        <w:trPr/>
        <w:tc>
          <w:tcPr>
            <w:tcW w:w="3649" w:type="dxa"/>
            <w:tcBorders>
              <w:top w:val="nil"/>
              <w:left w:val="nil"/>
              <w:bottom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Support Vector Machine</w:t>
            </w:r>
          </w:p>
        </w:tc>
        <w:tc>
          <w:tcPr>
            <w:tcW w:w="5105"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.814 (.005)</w:t>
            </w:r>
          </w:p>
        </w:tc>
      </w:tr>
      <w:tr>
        <w:trPr/>
        <w:tc>
          <w:tcPr>
            <w:tcW w:w="3649" w:type="dxa"/>
            <w:tcBorders>
              <w:top w:val="nil"/>
              <w:left w:val="nil"/>
              <w:bottom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Generalized Linear Model</w:t>
            </w:r>
          </w:p>
        </w:tc>
        <w:tc>
          <w:tcPr>
            <w:tcW w:w="5105"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.786 (.013)</w:t>
            </w:r>
          </w:p>
        </w:tc>
      </w:tr>
      <w:tr>
        <w:trPr/>
        <w:tc>
          <w:tcPr>
            <w:tcW w:w="3649" w:type="dxa"/>
            <w:tcBorders>
              <w:top w:val="nil"/>
              <w:left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Baseline prediction (most-frequent)</w:t>
            </w:r>
          </w:p>
        </w:tc>
        <w:tc>
          <w:tcPr>
            <w:tcW w:w="5105"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.789 (.087)</w:t>
            </w:r>
          </w:p>
        </w:tc>
      </w:tr>
    </w:tbl>
    <w:p>
      <w:pPr>
        <w:pStyle w:val="Normal"/>
        <w:spacing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We first investigate the results of the data-driven approach. In total, we train 62232 different models, varying the hyperparameters of each method as well as the method itself. Table 1 shows the highest average accuracies and accompanying standard deviations (based on the four splits of the cross-validation procedure for each model) obtained for each of the classification methods. In line with many other classification tasks on tabular data </w:t>
      </w:r>
      <w:r>
        <w:fldChar w:fldCharType="begin"/>
      </w:r>
      <w:r>
        <w:rPr>
          <w:rFonts w:cs="Times New Roman" w:ascii="Times New Roman" w:hAnsi="Times New Roman"/>
          <w:lang w:val="en-US"/>
        </w:rPr>
        <w:instrText xml:space="preserve">ADDIN ZOTERO_ITEM CSL_CITATION {"citationID":"b8c5Ehju","properties":{"formattedCitation":"(Shwartz-Ziv and Armon 2022)","plainCitation":"(Shwartz-Ziv and Armon 2022)","noteIndex":0},"citationItems":[{"id":276,"uris":["http://zotero.org/users/local/KhtVq53Q/items/JNISBRAK",["http://zotero.org/users/local/KhtVq53Q/items/JNISBRAK"]],"itemData":{"id":276,"type":"article-journal","container-title":"Information Fusion","DOI":"10.1016/j.inffus.2021.11.011","ISSN":"15662535","journalAbbreviation":"Information Fusion","language":"en","page":"84-90","source":"DOI.org (Crossref)","title":"Tabular data: Deep learning is not all you need","title-short":"Tabular data","volume":"81","author":[{"family":"Shwartz-Ziv","given":"Ravid"},{"family":"Armon","given":"Amitai"}],"issued":{"date-parts":[["2022",5]]}}}],"schema":"https://github.com/citation-style-language/schema/raw/master/csl-citation.json"}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t>(Shwartz-Ziv and Armon 2022)</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the Extreme Gradient Boosting method was the highest-performing, with the highest overall accuracy and lowest standard deviation. The hyperparameters of this best-performing model can be found in Appendix A. While the top accuracy of all methods is relatively similar, we observe that the more flexible methods appear better-able to predict the existence of care collectives than the more rigid Generalized Linear Model. While accuracies between 78% and 83% may seem high at face value, it is important to evaluate them against an informative baseline model. In our data, the presence of care collectives is relatively rare, and thus predicting the absence of a collective in every zipcode area would already yield an accuracy of 79% (though the variation between splits is larger). The performance of the more complicated models is higher than this baseline, yet the increase in overall predictive accuracy over such this simple (intercept-only) model is limited to a few percent points</w:t>
      </w:r>
      <w:r>
        <w:rPr>
          <w:rStyle w:val="FootnoteAnchor"/>
        </w:rPr>
        <w:footnoteReference w:id="4"/>
      </w:r>
      <w:r>
        <w:rPr>
          <w:rFonts w:cs="Times New Roman" w:ascii="Times New Roman" w:hAnsi="Times New Roman"/>
          <w:lang w:val="en-US"/>
        </w:rPr>
        <w:t>. In order to evaluate the top-performing model on data that the model has not previously ‘seen’, and thus get an unbiased picture of its performance, we re-fit this model on the entire training data (N=3256) and evaluate the predictions on the testing data (N=813). These predictions and the corresponding observed values are summarized in Table 2.</w:t>
      </w:r>
    </w:p>
    <w:p>
      <w:pPr>
        <w:pStyle w:val="Normal"/>
        <w:spacing w:before="0" w:after="0"/>
        <w:ind w:firstLine="708"/>
        <w:jc w:val="both"/>
        <w:rPr>
          <w:rFonts w:ascii="Times New Roman" w:hAnsi="Times New Roman" w:cs="Times New Roman"/>
          <w:lang w:val="en-US"/>
        </w:rPr>
      </w:pPr>
      <w:r>
        <w:rPr>
          <w:rFonts w:cs="Times New Roman" w:ascii="Times New Roman" w:hAnsi="Times New Roman"/>
          <w:lang w:val="en-US"/>
        </w:rPr>
      </w:r>
    </w:p>
    <w:p>
      <w:pPr>
        <w:pStyle w:val="Normal"/>
        <w:keepNext w:val="true"/>
        <w:spacing w:before="0" w:after="0"/>
        <w:jc w:val="both"/>
        <w:rPr>
          <w:rFonts w:ascii="Times New Roman" w:hAnsi="Times New Roman" w:cs="Times New Roman"/>
          <w:lang w:val="en-US"/>
        </w:rPr>
      </w:pPr>
      <w:r>
        <w:rPr>
          <w:rFonts w:cs="Times New Roman" w:ascii="Times New Roman" w:hAnsi="Times New Roman"/>
          <w:lang w:val="en-US"/>
        </w:rPr>
        <w:t>Table 2. Predictions and observed values for the presence of citizen collectives in the testing data.</w:t>
      </w:r>
    </w:p>
    <w:tbl>
      <w:tblPr>
        <w:tblStyle w:val="TableGrid"/>
        <w:tblW w:w="921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070"/>
        <w:gridCol w:w="3071"/>
        <w:gridCol w:w="3071"/>
      </w:tblGrid>
      <w:tr>
        <w:trPr/>
        <w:tc>
          <w:tcPr>
            <w:tcW w:w="3070" w:type="dxa"/>
            <w:tcBorders>
              <w:left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3071"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Observed absence of collective</w:t>
            </w:r>
          </w:p>
        </w:tc>
        <w:tc>
          <w:tcPr>
            <w:tcW w:w="3071"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Observed presence of collective</w:t>
            </w:r>
          </w:p>
        </w:tc>
      </w:tr>
      <w:tr>
        <w:trPr/>
        <w:tc>
          <w:tcPr>
            <w:tcW w:w="3070" w:type="dxa"/>
            <w:tcBorders>
              <w:left w:val="nil"/>
              <w:bottom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Predicted absence of collective</w:t>
            </w:r>
          </w:p>
        </w:tc>
        <w:tc>
          <w:tcPr>
            <w:tcW w:w="3071"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626</w:t>
            </w:r>
          </w:p>
        </w:tc>
        <w:tc>
          <w:tcPr>
            <w:tcW w:w="3071"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123</w:t>
            </w:r>
          </w:p>
        </w:tc>
      </w:tr>
      <w:tr>
        <w:trPr/>
        <w:tc>
          <w:tcPr>
            <w:tcW w:w="3070" w:type="dxa"/>
            <w:tcBorders>
              <w:top w:val="nil"/>
              <w:left w:val="nil"/>
              <w:right w:val="nil"/>
            </w:tcBorders>
          </w:tcPr>
          <w:p>
            <w:pPr>
              <w:pStyle w:val="Normal"/>
              <w:widowControl w:val="false"/>
              <w:suppressAutoHyphens w:val="true"/>
              <w:spacing w:lineRule="auto" w:line="240" w:before="0" w:after="0"/>
              <w:jc w:val="both"/>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Predicted presence of collective</w:t>
            </w:r>
          </w:p>
        </w:tc>
        <w:tc>
          <w:tcPr>
            <w:tcW w:w="3071"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16</w:t>
            </w:r>
          </w:p>
        </w:tc>
        <w:tc>
          <w:tcPr>
            <w:tcW w:w="3071"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48</w:t>
            </w:r>
          </w:p>
        </w:tc>
      </w:tr>
    </w:tbl>
    <w:p>
      <w:pPr>
        <w:pStyle w:val="Normal"/>
        <w:spacing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 xml:space="preserve">The overall accuracy of the predictions on the testing data is 82,9%. Furthermore, we observe that the model rarely predicts the presence of a collective while there is none in the data, indicating a low false positive rate. However, the model often fails to identify the existence of a collective in a zipcode, which gives a high false negative rate. In other words, the model has a high specificity, but low sensitivity </w:t>
      </w:r>
      <w:r>
        <w:fldChar w:fldCharType="begin"/>
      </w:r>
      <w:r>
        <w:rPr>
          <w:rFonts w:cs="Times New Roman" w:ascii="Times New Roman" w:hAnsi="Times New Roman"/>
          <w:lang w:val="en-US"/>
        </w:rPr>
        <w:instrText xml:space="preserve">ADDIN ZOTERO_ITEM CSL_CITATION {"citationID":"xBZdvi2e","properties":{"formattedCitation":"(Parikh et al. 2008)","plainCitation":"(Parikh et al. 2008)","noteIndex":0},"citationItems":[{"id":291,"uris":["http://zotero.org/users/local/KhtVq53Q/items/TA7KUGKZ",["http://zotero.org/users/local/KhtVq53Q/items/TA7KUGKZ"]],"itemData":{"id":291,"type":"article-journal","container-title":"Indian Journal of Ophthalmology","DOI":"10.4103/0301-4738.37595","ISSN":"0301-4738","issue":"1","journalAbbreviation":"Indian J Ophthalmol","language":"en","page":"45","source":"DOI.org (Crossref)","title":"Understanding and using sensitivity, specificity and predictive values","volume":"56","author":[{"family":"Parikh","given":"Rajul"},{"family":"Mathai","given":"Annie"},{"family":"Parikh","given":"Shefali"},{"family":"Chandra Sekhar","given":"G"},{"family":"Thomas","given":"Ravi"}],"issued":{"date-parts":[["2008"]]}}}],"schema":"https://github.com/citation-style-language/schema/raw/master/csl-citation.json"}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(Parikh et al. 2008)</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w:t>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t>Exploring patterns of predictability of care collectives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The model’s inability to identify the majority of zipcodes in which a care collective is present, begs the question whether there is a difference between collectives in these zipcodes and those in zipcodes which could be predicted accurately. To investigate this, we use information from a survey among a convenience sample of 328 care collectives in the Netherlands to test exploratively for patterns between zipcodes with true positive predictions and those with false negative predictions. Since the accuracy for the zipcode areas that were in the training data is higher than for those in the testing data, we use the predictions obtained from leave-one-out estimation to identify these patterns.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Of the 328 collectives in the survey, 211 are located in a zipcode that was predicted not to have a collective in them and 77 are located in zipcodes that were correctly predicted to have a collective present. For 40 collectives, their location is unknown, and these excluded from further comparisons.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The survey data suggest that collectives that are not predicted well by the model are on average 2 years younger and are about 10% more likely to be in their start-up phase. These collectives also appear to be more active in informal practices, prioritizing activities such as ‘general neighborly helping’, ‘organizing informal transport’ and ‘cultural activities’. They appear less involved in more official, location-dependent practices such as ‘organizing financial/regulatory support hours’, ‘organizing sporting activities’ and ‘creating housing opportunities for the elderly’. This image is further reinforced by the fact that these collectives are 20% less likely to have members, and are less likely to receive funding from other sources than voluntary contributions and/or membership fees (alternatives include municipal subsidies, charities or private businesses).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In general, it appears that the model is better-able to predict the existence of older, better-established care collectives with a formal legal structure, that have financial ties to local institutions. The model seems less able to predict the existence of smaller-scale informal collectives in their start-up phase.</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center"/>
        <w:rPr>
          <w:rFonts w:ascii="Times New Roman" w:hAnsi="Times New Roman" w:cs="Times New Roman"/>
          <w:lang w:val="en-US"/>
        </w:rPr>
      </w:pPr>
      <w:r>
        <w:rPr>
          <w:rFonts w:cs="Times New Roman" w:ascii="Times New Roman" w:hAnsi="Times New Roman"/>
          <w:lang w:val="en-US"/>
        </w:rPr>
        <w:t>&lt;Placeholder for figure that summarizes the insights from the survey exploration&gt;</w:t>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i/>
          <w:iCs/>
          <w:lang w:val="en-US"/>
        </w:rPr>
        <w:t>Influential predictors of care collectives</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Extreme Gradient Boosting models allow for an estimate of overall relative variable importance, based on each variable’s frequency of use in the model and their contribution to the reduction in misclassification. While the magnitude of these variable importances cannot be evaluated in terms of effect size or direction, they can help to understand the factors that were relatively important for the predictions of the model, thereby contextualizing these predictions, as well as providing insights for future theory development. In general, we note that there are 4 main influential variables to the model, after which the distribution of variable importances has a long and slowly diminishing tail, with many features approximately equally important for predictions.</w:t>
      </w:r>
    </w:p>
    <w:p>
      <w:pPr>
        <w:pStyle w:val="Normal"/>
        <w:spacing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spacing w:before="0" w:after="0"/>
        <w:jc w:val="both"/>
        <w:rPr>
          <w:rFonts w:ascii="Times New Roman" w:hAnsi="Times New Roman" w:cs="Times New Roman"/>
          <w:lang w:val="en-US"/>
        </w:rPr>
      </w:pPr>
      <w:r>
        <w:rPr/>
        <w:drawing>
          <wp:inline distT="0" distB="0" distL="0" distR="0">
            <wp:extent cx="5760720" cy="345503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60720" cy="3455035"/>
                    </a:xfrm>
                    <a:prstGeom prst="rect">
                      <a:avLst/>
                    </a:prstGeom>
                  </pic:spPr>
                </pic:pic>
              </a:graphicData>
            </a:graphic>
          </wp:inline>
        </w:drawing>
      </w:r>
      <w:r>
        <w:rPr>
          <w:rFonts w:cs="Times New Roman" w:ascii="Times New Roman" w:hAnsi="Times New Roman"/>
          <w:lang w:val="en-US"/>
        </w:rPr>
        <w:t>Figure 3. Variables with the highest relative importance in predicting care collectives.</w:t>
      </w:r>
    </w:p>
    <w:p>
      <w:pPr>
        <w:pStyle w:val="Normal"/>
        <w:spacing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Figure 3 shows that the most important variable for the model is the number of motorbikes in the zipcode area, closely followed by the number of theme parks, zoos and indoor playgrounds that are accessible within 50km (measured over car-accessible roads) for each inhabitant of a zipcode. Obviously, it is unlikely that these concepts are themselves of any theoretical importance to understand the emergence of care collectives. More likely, these variables have absorbed effects of multiple underlying variables that are of theoretical importance. For instance, the number of attraction parks, zoos and indoor playgrounds in the vicinity likely summarizes information about the urbanity of the region, its accessibility by car and public transport, as well as the age distribution.</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Of more direct substantive interest may be the importance of the relative number of votes for the political parties ‘</w:t>
      </w:r>
      <w:r>
        <w:rPr>
          <w:rFonts w:cs="Times New Roman" w:ascii="Times New Roman" w:hAnsi="Times New Roman"/>
          <w:i/>
          <w:iCs/>
          <w:lang w:val="en-US"/>
        </w:rPr>
        <w:t>P.v.d.A</w:t>
      </w:r>
      <w:r>
        <w:rPr>
          <w:rFonts w:cs="Times New Roman" w:ascii="Times New Roman" w:hAnsi="Times New Roman"/>
          <w:lang w:val="en-US"/>
        </w:rPr>
        <w:t>’ (3</w:t>
      </w:r>
      <w:r>
        <w:rPr>
          <w:rFonts w:cs="Times New Roman" w:ascii="Times New Roman" w:hAnsi="Times New Roman"/>
          <w:vertAlign w:val="superscript"/>
          <w:lang w:val="en-US"/>
        </w:rPr>
        <w:t>rd</w:t>
      </w:r>
      <w:r>
        <w:rPr>
          <w:rFonts w:cs="Times New Roman" w:ascii="Times New Roman" w:hAnsi="Times New Roman"/>
          <w:lang w:val="en-US"/>
        </w:rPr>
        <w:t xml:space="preserve"> most important predictor) and the ‘</w:t>
      </w:r>
      <w:r>
        <w:rPr>
          <w:rFonts w:cs="Times New Roman" w:ascii="Times New Roman" w:hAnsi="Times New Roman"/>
          <w:i/>
          <w:iCs/>
          <w:lang w:val="en-US"/>
        </w:rPr>
        <w:t>CDA´</w:t>
      </w:r>
      <w:r>
        <w:rPr>
          <w:rFonts w:cs="Times New Roman" w:ascii="Times New Roman" w:hAnsi="Times New Roman"/>
          <w:lang w:val="en-US"/>
        </w:rPr>
        <w:t xml:space="preserve"> (5</w:t>
      </w:r>
      <w:r>
        <w:rPr>
          <w:rFonts w:cs="Times New Roman" w:ascii="Times New Roman" w:hAnsi="Times New Roman"/>
          <w:vertAlign w:val="superscript"/>
          <w:lang w:val="en-US"/>
        </w:rPr>
        <w:t>th</w:t>
      </w:r>
      <w:r>
        <w:rPr>
          <w:rFonts w:cs="Times New Roman" w:ascii="Times New Roman" w:hAnsi="Times New Roman"/>
          <w:lang w:val="en-US"/>
        </w:rPr>
        <w:t xml:space="preserve"> most important predictor). Both parties, albeit from different ideological perspectives, emphasize community values, solidarity and social cohesion at the local level. These values are also often central to collective action among citizens, and may be a reflection of broader value alignment with citizen collectives in the region. In addition, these parties may be more likely to facilitate the establishment and operation of care collectives through legislation and funding, as their values align with collectives as local expressions of solidarity and mutual aid. These two approaches to explaining the predictive power of voting behavior for these parties on care collectives may warrant future investigation.</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Interestingly, the distance to the nearest hospital and the number of elderly residents do not appear in the top 25 predictors for the presence of a care collective. Rather the theoretically ambiguous importance of the aforementioned variables, combined with a long tail of the distribution may suggest that the presence of care collectives is a complicated and nuanced phenomenon to explain from community characteristics at the zipcode level of aggregation. This is further supported by the relatively poor performance of the less flexible data-driven methods that we observed earlier.</w:t>
      </w:r>
    </w:p>
    <w:p>
      <w:pPr>
        <w:pStyle w:val="Normal"/>
        <w:spacing w:lineRule="auto" w:line="480" w:before="0" w:after="0"/>
        <w:jc w:val="both"/>
        <w:rPr>
          <w:rFonts w:ascii="Times New Roman" w:hAnsi="Times New Roman" w:cs="Times New Roman"/>
          <w:i/>
          <w:i/>
          <w:iCs/>
          <w:lang w:val="en-US"/>
        </w:rPr>
      </w:pPr>
      <w:r>
        <w:rPr>
          <w:rFonts w:cs="Times New Roman" w:ascii="Times New Roman" w:hAnsi="Times New Roman"/>
          <w:i/>
          <w:iCs/>
          <w:lang w:val="en-US"/>
        </w:rPr>
      </w:r>
    </w:p>
    <w:p>
      <w:pPr>
        <w:pStyle w:val="Normal"/>
        <w:spacing w:lineRule="auto" w:line="480" w:before="0" w:after="0"/>
        <w:rPr>
          <w:rFonts w:ascii="Times New Roman" w:hAnsi="Times New Roman" w:cs="Times New Roman"/>
          <w:i/>
          <w:i/>
          <w:iCs/>
          <w:lang w:val="en-US"/>
        </w:rPr>
      </w:pPr>
      <w:r>
        <w:rPr>
          <w:rFonts w:cs="Times New Roman" w:ascii="Times New Roman" w:hAnsi="Times New Roman"/>
          <w:i/>
          <w:iCs/>
          <w:lang w:val="en-US"/>
        </w:rPr>
        <w:t>Hypothesis testing (spatial clustering)</w:t>
      </w:r>
    </w:p>
    <w:p>
      <w:pPr>
        <w:pStyle w:val="Normal"/>
        <w:spacing w:before="0" w:after="0"/>
        <w:rPr>
          <w:rFonts w:ascii="Times New Roman" w:hAnsi="Times New Roman" w:cs="Times New Roman"/>
          <w:lang w:val="en-US"/>
        </w:rPr>
      </w:pPr>
      <w:r>
        <w:rPr/>
        <w:drawing>
          <wp:inline distT="0" distB="0" distL="0" distR="0">
            <wp:extent cx="5760085" cy="3373120"/>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5"/>
                    <a:srcRect l="0" t="8388" r="0" b="13540"/>
                    <a:stretch>
                      <a:fillRect/>
                    </a:stretch>
                  </pic:blipFill>
                  <pic:spPr bwMode="auto">
                    <a:xfrm>
                      <a:off x="0" y="0"/>
                      <a:ext cx="5760085" cy="3373120"/>
                    </a:xfrm>
                    <a:prstGeom prst="rect">
                      <a:avLst/>
                    </a:prstGeom>
                  </pic:spPr>
                </pic:pic>
              </a:graphicData>
            </a:graphic>
          </wp:inline>
        </w:drawing>
      </w:r>
    </w:p>
    <w:p>
      <w:pPr>
        <w:pStyle w:val="Normal"/>
        <w:spacing w:before="0" w:after="0"/>
        <w:rPr>
          <w:rFonts w:ascii="Times New Roman" w:hAnsi="Times New Roman" w:cs="Times New Roman"/>
          <w:lang w:val="en-US"/>
        </w:rPr>
      </w:pPr>
      <w:r>
        <w:rPr>
          <w:rFonts w:cs="Times New Roman" w:ascii="Times New Roman" w:hAnsi="Times New Roman"/>
          <w:lang w:val="en-US"/>
        </w:rPr>
        <w:t>Figure 4. The distribution of care collectives (a) and the residuals of the data-driven model (b) across Dutch zipcode areas.</w:t>
      </w:r>
    </w:p>
    <w:p>
      <w:pPr>
        <w:pStyle w:val="Normal"/>
        <w:spacing w:before="0" w:after="0"/>
        <w:rPr>
          <w:rFonts w:ascii="Times New Roman" w:hAnsi="Times New Roman" w:cs="Times New Roman"/>
          <w:lang w:val="en-US"/>
        </w:rPr>
      </w:pPr>
      <w:r>
        <w:rPr>
          <w:rFonts w:cs="Times New Roman" w:ascii="Times New Roman" w:hAnsi="Times New Roman"/>
          <w:lang w:val="en-US"/>
        </w:rPr>
      </w:r>
    </w:p>
    <w:p>
      <w:pPr>
        <w:pStyle w:val="Normal"/>
        <w:spacing w:lineRule="auto" w:line="480"/>
        <w:jc w:val="both"/>
        <w:rPr>
          <w:rFonts w:ascii="Times New Roman" w:hAnsi="Times New Roman" w:cs="Times New Roman"/>
          <w:lang w:val="en-US"/>
        </w:rPr>
      </w:pPr>
      <w:r>
        <w:rPr>
          <w:rFonts w:cs="Times New Roman" w:ascii="Times New Roman" w:hAnsi="Times New Roman"/>
          <w:lang w:val="en-US"/>
        </w:rPr>
        <w:t>Figure 4a shows the distribution of zipcodes containing at least one care collective in The Netherlands. To test our first hypothesis, we estimate the ‘raw’ spatial correlation of these care collectives. Table 3 shows that the join count for zipcodes with a care collective present in them is higher than would be expected under a random spatial distribution. The number of shared borders between zipcodes with at least one care collective (1089), is twice as high as the number of these borders that would be expected under random spatial allocation (519.25). These findings provide statistical support for H1.</w:t>
      </w:r>
    </w:p>
    <w:p>
      <w:pPr>
        <w:pStyle w:val="Normal"/>
        <w:keepNext w:val="true"/>
        <w:rPr>
          <w:rFonts w:ascii="Times New Roman" w:hAnsi="Times New Roman" w:cs="Times New Roman"/>
          <w:lang w:val="en-US"/>
        </w:rPr>
      </w:pPr>
      <w:r>
        <w:rPr>
          <w:rFonts w:cs="Times New Roman" w:ascii="Times New Roman" w:hAnsi="Times New Roman"/>
          <w:lang w:val="en-US"/>
        </w:rPr>
        <w:t>Table 3. Joincount statistics for the presence of at least one collective in a zipcode area (N=4066).</w:t>
      </w:r>
    </w:p>
    <w:tbl>
      <w:tblPr>
        <w:tblStyle w:val="TableGrid"/>
        <w:tblW w:w="737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62"/>
        <w:gridCol w:w="1023"/>
        <w:gridCol w:w="1843"/>
        <w:gridCol w:w="1841"/>
      </w:tblGrid>
      <w:tr>
        <w:trPr/>
        <w:tc>
          <w:tcPr>
            <w:tcW w:w="2662" w:type="dxa"/>
            <w:tcBorders>
              <w:left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1023"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Estimate</w:t>
            </w:r>
          </w:p>
        </w:tc>
        <w:tc>
          <w:tcPr>
            <w:tcW w:w="1843"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Expected value under H0</w:t>
            </w:r>
          </w:p>
        </w:tc>
        <w:tc>
          <w:tcPr>
            <w:tcW w:w="1841" w:type="dxa"/>
            <w:tcBorders>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Test procedure</w:t>
            </w:r>
          </w:p>
        </w:tc>
      </w:tr>
      <w:tr>
        <w:trPr/>
        <w:tc>
          <w:tcPr>
            <w:tcW w:w="2662" w:type="dxa"/>
            <w:tcBorders>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i/>
                <w:i/>
                <w:iCs/>
                <w:lang w:val="en-US"/>
              </w:rPr>
            </w:pPr>
            <w:r>
              <w:rPr>
                <w:rFonts w:eastAsia="Calibri" w:cs="Times New Roman" w:ascii="Times New Roman" w:hAnsi="Times New Roman"/>
                <w:i/>
                <w:iCs/>
                <w:kern w:val="0"/>
                <w:sz w:val="22"/>
                <w:szCs w:val="22"/>
                <w:lang w:val="en-US" w:eastAsia="en-US" w:bidi="ar-SA"/>
              </w:rPr>
              <w:t>Joincounts ‘raw’ collective data</w:t>
            </w:r>
          </w:p>
        </w:tc>
        <w:tc>
          <w:tcPr>
            <w:tcW w:w="1023"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1843"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1841"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r>
      <w:tr>
        <w:trPr/>
        <w:tc>
          <w:tcPr>
            <w:tcW w:w="2662"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Joincount (1,1)</w:t>
            </w:r>
          </w:p>
        </w:tc>
        <w:tc>
          <w:tcPr>
            <w:tcW w:w="102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vertAlign w:val="superscript"/>
                <w:lang w:val="en-US"/>
              </w:rPr>
            </w:pPr>
            <w:r>
              <w:rPr>
                <w:rFonts w:eastAsia="Calibri" w:cs="Times New Roman" w:ascii="Times New Roman" w:hAnsi="Times New Roman"/>
                <w:kern w:val="0"/>
                <w:sz w:val="22"/>
                <w:szCs w:val="22"/>
                <w:lang w:val="en-US" w:eastAsia="en-US" w:bidi="ar-SA"/>
              </w:rPr>
              <w:t>1089</w:t>
            </w:r>
            <w:r>
              <w:rPr>
                <w:rFonts w:eastAsia="Calibri" w:cs="Times New Roman" w:ascii="Times New Roman" w:hAnsi="Times New Roman"/>
                <w:kern w:val="0"/>
                <w:sz w:val="22"/>
                <w:szCs w:val="22"/>
                <w:vertAlign w:val="superscript"/>
                <w:lang w:val="en-US" w:eastAsia="en-US" w:bidi="ar-SA"/>
              </w:rPr>
              <w:t>***</w:t>
            </w:r>
          </w:p>
        </w:tc>
        <w:tc>
          <w:tcPr>
            <w:tcW w:w="184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519.25</w:t>
            </w:r>
          </w:p>
        </w:tc>
        <w:tc>
          <w:tcPr>
            <w:tcW w:w="1841"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Permutation t-test</w:t>
            </w:r>
          </w:p>
        </w:tc>
      </w:tr>
      <w:tr>
        <w:trPr/>
        <w:tc>
          <w:tcPr>
            <w:tcW w:w="2662"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Joincount (0,0)</w:t>
            </w:r>
          </w:p>
        </w:tc>
        <w:tc>
          <w:tcPr>
            <w:tcW w:w="102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vertAlign w:val="superscript"/>
                <w:lang w:val="en-US"/>
              </w:rPr>
            </w:pPr>
            <w:r>
              <w:rPr>
                <w:rFonts w:eastAsia="Calibri" w:cs="Times New Roman" w:ascii="Times New Roman" w:hAnsi="Times New Roman"/>
                <w:kern w:val="0"/>
                <w:sz w:val="22"/>
                <w:szCs w:val="22"/>
                <w:lang w:val="en-US" w:eastAsia="en-US" w:bidi="ar-SA"/>
              </w:rPr>
              <w:t>7552</w:t>
            </w:r>
            <w:r>
              <w:rPr>
                <w:rFonts w:eastAsia="Calibri" w:cs="Times New Roman" w:ascii="Times New Roman" w:hAnsi="Times New Roman"/>
                <w:kern w:val="0"/>
                <w:sz w:val="22"/>
                <w:szCs w:val="22"/>
                <w:vertAlign w:val="superscript"/>
                <w:lang w:val="en-US" w:eastAsia="en-US" w:bidi="ar-SA"/>
              </w:rPr>
              <w:t>***</w:t>
            </w:r>
          </w:p>
        </w:tc>
        <w:tc>
          <w:tcPr>
            <w:tcW w:w="184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7308.28</w:t>
            </w:r>
          </w:p>
        </w:tc>
        <w:tc>
          <w:tcPr>
            <w:tcW w:w="1841"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Permutation t-test</w:t>
            </w:r>
          </w:p>
        </w:tc>
      </w:tr>
      <w:tr>
        <w:trPr/>
        <w:tc>
          <w:tcPr>
            <w:tcW w:w="2662"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Joincount (1,0)</w:t>
            </w:r>
          </w:p>
        </w:tc>
        <w:tc>
          <w:tcPr>
            <w:tcW w:w="102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vertAlign w:val="superscript"/>
                <w:lang w:val="en-US"/>
              </w:rPr>
            </w:pPr>
            <w:r>
              <w:rPr>
                <w:rFonts w:eastAsia="Calibri" w:cs="Times New Roman" w:ascii="Times New Roman" w:hAnsi="Times New Roman"/>
                <w:kern w:val="0"/>
                <w:sz w:val="22"/>
                <w:szCs w:val="22"/>
                <w:lang w:val="en-US" w:eastAsia="en-US" w:bidi="ar-SA"/>
              </w:rPr>
              <w:t>3085</w:t>
            </w:r>
            <w:r>
              <w:rPr>
                <w:rFonts w:eastAsia="Calibri" w:cs="Times New Roman" w:ascii="Times New Roman" w:hAnsi="Times New Roman"/>
                <w:kern w:val="0"/>
                <w:sz w:val="22"/>
                <w:szCs w:val="22"/>
                <w:vertAlign w:val="superscript"/>
                <w:lang w:val="en-US" w:eastAsia="en-US" w:bidi="ar-SA"/>
              </w:rPr>
              <w:t>***</w:t>
            </w:r>
          </w:p>
        </w:tc>
        <w:tc>
          <w:tcPr>
            <w:tcW w:w="1843"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eastAsia="Calibri" w:cs="Times New Roman"/>
                <w:lang w:val="en-US"/>
              </w:rPr>
            </w:pPr>
            <w:r>
              <w:rPr>
                <w:rFonts w:eastAsia="Calibri" w:cs="Times New Roman" w:ascii="Times New Roman" w:hAnsi="Times New Roman"/>
                <w:kern w:val="0"/>
                <w:sz w:val="22"/>
                <w:szCs w:val="22"/>
                <w:lang w:val="en-US" w:eastAsia="en-US" w:bidi="ar-SA"/>
              </w:rPr>
              <w:t>3898.96</w:t>
            </w:r>
          </w:p>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1841" w:type="dxa"/>
            <w:tcBorders>
              <w:top w:val="nil"/>
              <w:left w:val="nil"/>
              <w:bottom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Permutation t-test</w:t>
            </w:r>
          </w:p>
        </w:tc>
      </w:tr>
      <w:tr>
        <w:trPr/>
        <w:tc>
          <w:tcPr>
            <w:tcW w:w="2662" w:type="dxa"/>
            <w:tcBorders>
              <w:top w:val="nil"/>
              <w:left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Residual Moran’s I statistic</w:t>
            </w:r>
          </w:p>
        </w:tc>
        <w:tc>
          <w:tcPr>
            <w:tcW w:w="1023"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vertAlign w:val="superscript"/>
                <w:lang w:val="en-US"/>
              </w:rPr>
            </w:pPr>
            <w:r>
              <w:rPr>
                <w:rFonts w:eastAsia="Calibri" w:cs="Times New Roman" w:ascii="Times New Roman" w:hAnsi="Times New Roman"/>
                <w:kern w:val="0"/>
                <w:sz w:val="22"/>
                <w:szCs w:val="22"/>
                <w:lang w:val="en-US" w:eastAsia="en-US" w:bidi="ar-SA"/>
              </w:rPr>
              <w:t>0.050</w:t>
            </w:r>
            <w:r>
              <w:rPr>
                <w:rFonts w:eastAsia="Calibri" w:cs="Times New Roman" w:ascii="Times New Roman" w:hAnsi="Times New Roman"/>
                <w:kern w:val="0"/>
                <w:sz w:val="22"/>
                <w:szCs w:val="22"/>
                <w:vertAlign w:val="superscript"/>
                <w:lang w:val="en-US" w:eastAsia="en-US" w:bidi="ar-SA"/>
              </w:rPr>
              <w:t>***</w:t>
            </w:r>
          </w:p>
        </w:tc>
        <w:tc>
          <w:tcPr>
            <w:tcW w:w="1843"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0.000</w:t>
            </w:r>
          </w:p>
        </w:tc>
        <w:tc>
          <w:tcPr>
            <w:tcW w:w="1841" w:type="dxa"/>
            <w:tcBorders>
              <w:top w:val="nil"/>
              <w:left w:val="nil"/>
              <w:right w:val="nil"/>
            </w:tcBorders>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Monte Carlo simulation (1000)</w:t>
            </w:r>
          </w:p>
        </w:tc>
      </w:tr>
    </w:tbl>
    <w:p>
      <w:pPr>
        <w:pStyle w:val="Normal"/>
        <w:rPr>
          <w:rFonts w:ascii="Times New Roman" w:hAnsi="Times New Roman" w:cs="Times New Roman"/>
          <w:lang w:val="en-US"/>
        </w:rPr>
      </w:pPr>
      <w:r>
        <w:rPr>
          <w:rFonts w:cs="Times New Roman" w:ascii="Times New Roman" w:hAnsi="Times New Roman"/>
          <w:lang w:val="en-US"/>
        </w:rPr>
      </w:r>
    </w:p>
    <w:p>
      <w:pPr>
        <w:pStyle w:val="Normal"/>
        <w:spacing w:lineRule="auto" w:line="480"/>
        <w:jc w:val="both"/>
        <w:rPr>
          <w:rFonts w:ascii="Times New Roman" w:hAnsi="Times New Roman" w:cs="Times New Roman"/>
          <w:lang w:val="en-US"/>
        </w:rPr>
      </w:pPr>
      <w:r>
        <w:rPr>
          <w:rFonts w:cs="Times New Roman" w:ascii="Times New Roman" w:hAnsi="Times New Roman"/>
          <w:lang w:val="en-US"/>
        </w:rPr>
        <w:t xml:space="preserve">In order to test the extent to which this spatial correlation persists when controlling for potential correlates, we test whether the residuals of our data-driven model, obtained by leave-one-out estimation, are spatially clustered. Because the variable of interest is now continuous instead of binary, we estimate Moran’s I statistic. Table 3 shows that Moran’s I statistic is positive and statistically significant, which indicates a positive spatial correlation. That is, the residuals of the data-driven model remain more strongly spatially clustered (Figure 4b) than would be expected under random spatial distribution. This provides statistical support for H2. </w:t>
      </w:r>
    </w:p>
    <w:p>
      <w:pPr>
        <w:pStyle w:val="Normal"/>
        <w:spacing w:lineRule="auto" w:line="480"/>
        <w:jc w:val="both"/>
        <w:rPr>
          <w:rFonts w:ascii="Times New Roman" w:hAnsi="Times New Roman" w:cs="Times New Roman"/>
          <w:lang w:val="en-US"/>
        </w:rPr>
      </w:pPr>
      <w:r>
        <w:rPr>
          <w:rFonts w:cs="Times New Roman" w:ascii="Times New Roman" w:hAnsi="Times New Roman"/>
          <w:lang w:val="en-US"/>
        </w:rPr>
        <w:t>Finally, we test whether the Moran’s I statistic differs locally, depending on the fraction of a zipcode’s cross-municipal neighboring regions. To do so, we regress the local values of Moran’s I, calculated separately for each zipcode, on the fraction of cross-municipal neighbors that a zipcode has. The results are summarized in Table 4. Based on this analysis, we find no statistical support that the local spatial clustering varies with the number of cross-municipal neighbors. Consequently, we find no support for H3.</w:t>
      </w:r>
    </w:p>
    <w:p>
      <w:pPr>
        <w:pStyle w:val="Normal"/>
        <w:spacing w:lineRule="auto" w:line="240" w:before="0" w:after="0"/>
        <w:rPr>
          <w:rFonts w:ascii="Times New Roman" w:hAnsi="Times New Roman" w:cs="Times New Roman"/>
          <w:lang w:val="en-US"/>
        </w:rPr>
      </w:pPr>
      <w:r>
        <w:rPr>
          <w:rFonts w:cs="Times New Roman" w:ascii="Times New Roman" w:hAnsi="Times New Roman"/>
          <w:lang w:val="en-US"/>
        </w:rPr>
      </w:r>
      <w:r>
        <w:br w:type="page"/>
      </w:r>
    </w:p>
    <w:p>
      <w:pPr>
        <w:pStyle w:val="Normal"/>
        <w:keepNext w:val="true"/>
        <w:rPr>
          <w:rFonts w:ascii="Times New Roman" w:hAnsi="Times New Roman" w:cs="Times New Roman"/>
          <w:lang w:val="en-US"/>
        </w:rPr>
      </w:pPr>
      <w:r>
        <w:rPr>
          <w:rFonts w:cs="Times New Roman" w:ascii="Times New Roman" w:hAnsi="Times New Roman"/>
          <w:lang w:val="en-US"/>
        </w:rPr>
        <w:t>Table 4. Linear Regression of local Moran’s I statistic on the fraction of cross-municipal neighbors (N=4066).</w:t>
      </w:r>
    </w:p>
    <w:tbl>
      <w:tblPr>
        <w:tblStyle w:val="TableGrid"/>
        <w:tblW w:w="614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070"/>
        <w:gridCol w:w="3071"/>
      </w:tblGrid>
      <w:tr>
        <w:trPr/>
        <w:tc>
          <w:tcPr>
            <w:tcW w:w="3070" w:type="dxa"/>
            <w:tcBorders>
              <w:left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3071" w:type="dxa"/>
            <w:tcBorders>
              <w:left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Estimate (s.e.)</w:t>
            </w:r>
          </w:p>
        </w:tc>
      </w:tr>
      <w:tr>
        <w:trPr/>
        <w:tc>
          <w:tcPr>
            <w:tcW w:w="3070" w:type="dxa"/>
            <w:tcBorders>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Intercept</w:t>
            </w:r>
          </w:p>
        </w:tc>
        <w:tc>
          <w:tcPr>
            <w:tcW w:w="3071" w:type="dxa"/>
            <w:tcBorders>
              <w:left w:val="nil"/>
              <w:bottom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0.243</w:t>
            </w:r>
            <w:r>
              <w:rPr>
                <w:rFonts w:eastAsia="Calibri" w:cs="Times New Roman" w:ascii="Times New Roman" w:hAnsi="Times New Roman"/>
                <w:kern w:val="0"/>
                <w:sz w:val="22"/>
                <w:szCs w:val="22"/>
                <w:vertAlign w:val="superscript"/>
                <w:lang w:val="en-US" w:eastAsia="en-US" w:bidi="ar-SA"/>
              </w:rPr>
              <w:t>***</w:t>
            </w:r>
            <w:r>
              <w:rPr>
                <w:rFonts w:eastAsia="Calibri" w:cs="Times New Roman" w:ascii="Times New Roman" w:hAnsi="Times New Roman"/>
                <w:kern w:val="0"/>
                <w:sz w:val="22"/>
                <w:szCs w:val="22"/>
                <w:lang w:val="en-US" w:eastAsia="en-US" w:bidi="ar-SA"/>
              </w:rPr>
              <w:t xml:space="preserve"> (0.020)</w:t>
            </w:r>
          </w:p>
        </w:tc>
      </w:tr>
      <w:tr>
        <w:trPr/>
        <w:tc>
          <w:tcPr>
            <w:tcW w:w="3070"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Fraction cross-municipal neighbors</w:t>
            </w:r>
          </w:p>
        </w:tc>
        <w:tc>
          <w:tcPr>
            <w:tcW w:w="3071" w:type="dxa"/>
            <w:tcBorders>
              <w:top w:val="nil"/>
              <w:left w:val="nil"/>
              <w:bottom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0.038     (0.051)</w:t>
            </w:r>
          </w:p>
        </w:tc>
      </w:tr>
      <w:tr>
        <w:trPr/>
        <w:tc>
          <w:tcPr>
            <w:tcW w:w="3070"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c>
          <w:tcPr>
            <w:tcW w:w="3071" w:type="dxa"/>
            <w:tcBorders>
              <w:top w:val="nil"/>
              <w:left w:val="nil"/>
              <w:bottom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r>
          </w:p>
        </w:tc>
      </w:tr>
      <w:tr>
        <w:trPr/>
        <w:tc>
          <w:tcPr>
            <w:tcW w:w="3070"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R</w:t>
            </w:r>
            <w:r>
              <w:rPr>
                <w:rFonts w:eastAsia="Calibri" w:cs="Times New Roman" w:ascii="Times New Roman" w:hAnsi="Times New Roman"/>
                <w:kern w:val="0"/>
                <w:sz w:val="22"/>
                <w:szCs w:val="22"/>
                <w:vertAlign w:val="superscript"/>
                <w:lang w:val="en-US" w:eastAsia="en-US" w:bidi="ar-SA"/>
              </w:rPr>
              <w:t>2</w:t>
            </w:r>
          </w:p>
        </w:tc>
        <w:tc>
          <w:tcPr>
            <w:tcW w:w="3071" w:type="dxa"/>
            <w:tcBorders>
              <w:top w:val="nil"/>
              <w:left w:val="nil"/>
              <w:bottom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0.000</w:t>
            </w:r>
          </w:p>
        </w:tc>
      </w:tr>
      <w:tr>
        <w:trPr/>
        <w:tc>
          <w:tcPr>
            <w:tcW w:w="3070"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AIC</w:t>
            </w:r>
          </w:p>
        </w:tc>
        <w:tc>
          <w:tcPr>
            <w:tcW w:w="3071" w:type="dxa"/>
            <w:tcBorders>
              <w:top w:val="nil"/>
              <w:left w:val="nil"/>
              <w:bottom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10202.71</w:t>
            </w:r>
          </w:p>
        </w:tc>
      </w:tr>
      <w:tr>
        <w:trPr/>
        <w:tc>
          <w:tcPr>
            <w:tcW w:w="3070" w:type="dxa"/>
            <w:tcBorders>
              <w:top w:val="nil"/>
              <w:left w:val="nil"/>
              <w:right w:val="nil"/>
            </w:tcBorders>
          </w:tcPr>
          <w:p>
            <w:pPr>
              <w:pStyle w:val="Normal"/>
              <w:widowControl w:val="false"/>
              <w:suppressAutoHyphens w:val="true"/>
              <w:spacing w:lineRule="auto" w:line="240" w:before="0" w:after="0"/>
              <w:jc w:val="left"/>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BIC</w:t>
            </w:r>
          </w:p>
        </w:tc>
        <w:tc>
          <w:tcPr>
            <w:tcW w:w="3071" w:type="dxa"/>
            <w:tcBorders>
              <w:top w:val="nil"/>
              <w:left w:val="nil"/>
              <w:right w:val="nil"/>
            </w:tcBorders>
            <w:vAlign w:val="center"/>
          </w:tcPr>
          <w:p>
            <w:pPr>
              <w:pStyle w:val="Normal"/>
              <w:widowControl w:val="false"/>
              <w:suppressAutoHyphens w:val="true"/>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10221.65</w:t>
            </w:r>
          </w:p>
        </w:tc>
      </w:tr>
    </w:tbl>
    <w:p>
      <w:pPr>
        <w:pStyle w:val="Normal"/>
        <w:rPr>
          <w:rFonts w:ascii="Times New Roman" w:hAnsi="Times New Roman" w:cs="Times New Roman"/>
          <w:lang w:val="en-US"/>
        </w:rPr>
      </w:pPr>
      <w:r>
        <w:rPr>
          <w:rFonts w:cs="Times New Roman" w:ascii="Times New Roman" w:hAnsi="Times New Roman"/>
          <w:lang w:val="en-US"/>
        </w:rPr>
      </w:r>
    </w:p>
    <w:p>
      <w:pPr>
        <w:pStyle w:val="Normal"/>
        <w:spacing w:lineRule="auto" w:line="480"/>
        <w:rPr>
          <w:rFonts w:ascii="Times New Roman" w:hAnsi="Times New Roman" w:cs="Times New Roman"/>
          <w:i/>
          <w:i/>
          <w:iCs/>
          <w:lang w:val="en-US"/>
        </w:rPr>
      </w:pPr>
      <w:r>
        <w:rPr>
          <w:rFonts w:cs="Times New Roman" w:ascii="Times New Roman" w:hAnsi="Times New Roman"/>
          <w:i/>
          <w:iCs/>
          <w:lang w:val="en-US"/>
        </w:rPr>
        <w:t>Robustness of the results</w:t>
      </w:r>
    </w:p>
    <w:p>
      <w:pPr>
        <w:pStyle w:val="Normal"/>
        <w:spacing w:lineRule="auto" w:line="480"/>
        <w:rPr>
          <w:rFonts w:ascii="Times New Roman" w:hAnsi="Times New Roman" w:cs="Times New Roman"/>
          <w:lang w:val="en-US"/>
        </w:rPr>
      </w:pPr>
      <w:r>
        <w:rPr>
          <w:rFonts w:cs="Times New Roman" w:ascii="Times New Roman" w:hAnsi="Times New Roman"/>
          <w:lang w:val="en-US"/>
        </w:rPr>
        <w:t>&lt;To be added, see bullet point list below for variations considered&gt;</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Queen vs Rook distance criteria for neighboring regions (i.e. ‘what is a neighbor?’)</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Number of collectives vs binary indicator</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Weight matrix as a gradient instead of yes/no neighbors</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Weight neighbors by ‘popnet’ data? Is interaction opportunity.</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 xml:space="preserve">Consider municipalities that merged over time as special case </w:t>
      </w:r>
    </w:p>
    <w:p>
      <w:pPr>
        <w:pStyle w:val="ListParagraph"/>
        <w:numPr>
          <w:ilvl w:val="0"/>
          <w:numId w:val="1"/>
        </w:numPr>
        <w:spacing w:lineRule="auto" w:line="480"/>
        <w:rPr>
          <w:rFonts w:ascii="Times New Roman" w:hAnsi="Times New Roman" w:cs="Times New Roman"/>
          <w:lang w:val="en-US"/>
        </w:rPr>
      </w:pPr>
      <w:r>
        <w:rPr>
          <w:rFonts w:cs="Times New Roman" w:ascii="Times New Roman" w:hAnsi="Times New Roman"/>
          <w:lang w:val="en-US"/>
        </w:rPr>
        <w:t>Omit election data? This could be absorbing diffusion effects? (since it’s at a higher geographic level than the other variables, causing inherent clustering)</w:t>
      </w:r>
    </w:p>
    <w:p>
      <w:pPr>
        <w:pStyle w:val="Normal"/>
        <w:spacing w:lineRule="auto" w:line="480"/>
        <w:rPr>
          <w:rFonts w:ascii="Times New Roman" w:hAnsi="Times New Roman" w:cs="Times New Roman"/>
          <w:b/>
          <w:b/>
          <w:bCs/>
          <w:lang w:val="en-US"/>
        </w:rPr>
      </w:pPr>
      <w:r>
        <w:rPr>
          <w:rFonts w:cs="Times New Roman" w:ascii="Times New Roman" w:hAnsi="Times New Roman"/>
          <w:b/>
          <w:bCs/>
          <w:lang w:val="en-US"/>
        </w:rPr>
        <w:t>Discussion</w:t>
      </w:r>
    </w:p>
    <w:p>
      <w:pPr>
        <w:pStyle w:val="Normal"/>
        <w:spacing w:lineRule="auto" w:line="480" w:before="0" w:after="0"/>
        <w:jc w:val="both"/>
        <w:rPr>
          <w:rFonts w:ascii="Times New Roman" w:hAnsi="Times New Roman" w:cs="Times New Roman"/>
          <w:lang w:val="en-US"/>
        </w:rPr>
      </w:pPr>
      <w:r>
        <w:rPr>
          <w:rFonts w:cs="Times New Roman" w:ascii="Times New Roman" w:hAnsi="Times New Roman"/>
          <w:lang w:val="en-US"/>
        </w:rPr>
        <w:t>In this study, we investigated spatial patterns in the presence of citizen collectives for care. Previous research has highlighted motivations of individual members to join these collectives, and explored community-level drivers of collective action. To complement this, we focused on a theoretical explanation based on diffusion of behavior. In particular, we argued that citizen collectives for care may spread from one region to neighboring regions through direct transmission of ideas between citizens, as well as through increased understanding and legitimacy from legislators and other formal institutions. We tested our expectations using an extensive country-level inventory of Dutch care collectives, as well as administrative data by Statistics Netherlands. We adopted a state-of-the-art data-driven approach to separate diffusion from potential spatial correlation of a large number of potential confounders.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Our main conclusion is that we find support for diffusion of collective action </w:t>
      </w:r>
      <w:r>
        <w:rPr>
          <w:rFonts w:cs="Times New Roman" w:ascii="Times New Roman" w:hAnsi="Times New Roman"/>
        </w:rPr>
        <w:t>in the care domain</w:t>
      </w:r>
      <w:r>
        <w:rPr>
          <w:rFonts w:cs="Times New Roman" w:ascii="Times New Roman" w:hAnsi="Times New Roman"/>
          <w:lang w:val="en-US"/>
        </w:rPr>
        <w:t xml:space="preserve">. The care collectives in our data showed spatial correlation, even after controlling for potential spatial confounders. This result showed to be insensitive to various definitions of what constitutes a neighboring region. Our conclusion is in line with the documented values that groups of citizen collectives have drawn up in local </w:t>
      </w:r>
      <w:r>
        <w:fldChar w:fldCharType="begin"/>
      </w:r>
      <w:r>
        <w:rPr>
          <w:rFonts w:cs="Times New Roman" w:ascii="Times New Roman" w:hAnsi="Times New Roman"/>
          <w:lang w:val="en-US"/>
        </w:rPr>
        <w:instrText xml:space="preserve">ADDIN ZOTERO_ITEM CSL_CITATION {"citationID":"4TFXh61Y","properties":{"formattedCitation":"(Nederland Zorgt Voor Elkaar n.d.)","plainCitation":"(Nederland Zorgt Voor Elkaar n.d.)","noteIndex":0},"citationItems":[{"id":240,"uris":["http://zotero.org/users/local/KhtVq53Q/items/REE8Z2TJ",["http://zotero.org/users/local/KhtVq53Q/items/REE8Z2TJ"]],"itemData":{"id":240,"type":"webpage","language":"Dutch","title":"Ondersteuningsteam NLZVE","URL":"https://www.nlzorgtvoorelkaar.nl/ondersteuningsteam/default.aspx","author":[{"family":"Nederland Zorgt Voor Elkaar","given":""}],"accessed":{"date-parts":[["2022",10,25]]}}}],"schema":"https://github.com/citation-style-language/schema/raw/master/csl-citation.json"}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(Nederland Zorgt Voor Elkaar n.d.)</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and global </w:t>
      </w:r>
      <w:r>
        <w:fldChar w:fldCharType="begin"/>
      </w:r>
      <w:r>
        <w:rPr>
          <w:rFonts w:cs="Times New Roman" w:ascii="Times New Roman" w:hAnsi="Times New Roman"/>
          <w:lang w:val="en-US"/>
        </w:rPr>
        <w:instrText xml:space="preserve">ADDIN ZOTERO_ITEM CSL_CITATION {"citationID":"uKhQXwcH","properties":{"formattedCitation":"(Anon n.d.)","plainCitation":"(Anon n.d.)","noteIndex":0},"citationItems":[{"id":27,"uris":["http://zotero.org/users/local/KhtVq53Q/items/Z4DM4AGA",["http://zotero.org/users/local/KhtVq53Q/items/Z4DM4AGA"]],"itemData":{"id":27,"type":"webpage","title":"Cooperative identity, values &amp; principles | ICA","URL":"https://www.ica.coop/en/cooperatives/cooperative-identity","accessed":{"date-parts":[["2021",1,5]]}}}],"schema":"https://github.com/citation-style-language/schema/raw/master/csl-citation.json"}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(Anon n.d.)</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networks, in which they highlight the value of supporting the emergence of new citizen collectives. It is also in line with previous research on citizen collectives in the energy domain </w:t>
      </w:r>
      <w:r>
        <w:fldChar w:fldCharType="begin"/>
      </w:r>
      <w:r>
        <w:rPr>
          <w:rFonts w:cs="Times New Roman" w:ascii="Times New Roman" w:hAnsi="Times New Roman"/>
          <w:lang w:val="en-US"/>
        </w:rPr>
        <w:instrText xml:space="preserve">ADDIN ZOTERO_ITEM CSL_CITATION {"citationID":"QJumJpDO","properties":{"formattedCitation":"(Punt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which found evidence for diffusion mechanisms in the emergence of sustainable energy cooperatives in Germany.</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Secondly, and contrary to previous work on energy cooperatives, in which the authors argue that this diffusion is (partly) driven by institutional legitimacy, we find no evidence to suggest that diffusion of care collectives is driven by increased legitimacy or experience of other institutions or local government. Instead, we find no evidence that diffusion is weaker across municipal borders that within municipal borders. This may suggest that diffusion of care collectives is more strongly driven by interpersonal exchange of ideas than by facilitation of the conditions that are required for care collectives to emerge by other local institutions. </w:t>
      </w:r>
      <w:r>
        <w:rPr>
          <w:rFonts w:cs="Times New Roman" w:ascii="Times New Roman" w:hAnsi="Times New Roman"/>
        </w:rPr>
        <w:t>However, it is also possible that municipalities allocate legitimacy somewhat equally to collectives if they are in neighbouring municipalities, or that  the presence of collectives in the vicinity of their municipal borders already sparks an exchange of information between municipalities.</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Thirdly, we conclude that the presence of care collectives in an area is limitedly predictable based on administrative demographic, geographic, socio-economic and political properties of the community. While the overall accuracy of our predictive model was relatively high, it did not substantially outperform a naïve baseline model. It seems that the unpredictability of smaller scale, informally organized care collectives with limited institutional embeddedness is an important reason for the low detection rate of collectives by the predictive model. </w:t>
      </w:r>
    </w:p>
    <w:p>
      <w:pPr>
        <w:pStyle w:val="Normal"/>
        <w:spacing w:lineRule="auto" w:line="480" w:before="0" w:after="0"/>
        <w:ind w:firstLine="708"/>
        <w:jc w:val="both"/>
        <w:rPr>
          <w:rFonts w:ascii="Times New Roman" w:hAnsi="Times New Roman" w:cs="Times New Roman"/>
        </w:rPr>
      </w:pPr>
      <w:r>
        <w:rPr>
          <w:rFonts w:cs="Times New Roman" w:ascii="Times New Roman" w:hAnsi="Times New Roman"/>
          <w:lang w:val="en-US"/>
        </w:rPr>
        <w:t xml:space="preserve">Overall, this study has made </w:t>
      </w:r>
      <w:r>
        <w:rPr>
          <w:rFonts w:cs="Times New Roman" w:ascii="Times New Roman" w:hAnsi="Times New Roman"/>
        </w:rPr>
        <w:t>significant</w:t>
      </w:r>
      <w:r>
        <w:rPr>
          <w:rFonts w:cs="Times New Roman" w:ascii="Times New Roman" w:hAnsi="Times New Roman"/>
          <w:lang w:val="en-US"/>
        </w:rPr>
        <w:t xml:space="preserve"> theoretical and methodological contributions</w:t>
      </w:r>
      <w:r>
        <w:rPr>
          <w:rFonts w:cs="Times New Roman" w:ascii="Times New Roman" w:hAnsi="Times New Roman"/>
        </w:rPr>
        <w:t xml:space="preserve"> to </w:t>
      </w:r>
      <w:r>
        <w:rPr>
          <w:rFonts w:cs="Times New Roman" w:ascii="Times New Roman" w:hAnsi="Times New Roman"/>
          <w:lang w:val="en-US"/>
        </w:rPr>
        <w:t xml:space="preserve">the emerging literature on citizen collectives. </w:t>
      </w:r>
      <w:r>
        <w:rPr>
          <w:rFonts w:cs="Times New Roman" w:ascii="Times New Roman" w:hAnsi="Times New Roman"/>
        </w:rPr>
        <w:t xml:space="preserve">We expanded beyond an explanation of care collectives based on personal and community characteristics, and found that a theoretical perspective based on the transmission of knowledge and norms between citizens is a useful lens to understand the emergence of collectives in the care domain. In addition, we have shown that the predictability of care collectives based on community characteristics alone is relatively limited. Moreover, there may be variability in this predictability for different types of citizen collectives, where smaller-scale and informally organized collectives are particularly difficult to predict. </w:t>
      </w:r>
    </w:p>
    <w:p>
      <w:pPr>
        <w:pStyle w:val="Normal"/>
        <w:spacing w:lineRule="auto" w:line="480" w:before="0" w:after="0"/>
        <w:ind w:firstLine="708"/>
        <w:jc w:val="both"/>
        <w:rPr>
          <w:rFonts w:ascii="Times New Roman" w:hAnsi="Times New Roman" w:cs="Times New Roman"/>
        </w:rPr>
      </w:pPr>
      <w:r>
        <w:rPr>
          <w:rFonts w:cs="Times New Roman" w:ascii="Times New Roman" w:hAnsi="Times New Roman"/>
        </w:rPr>
        <w:t xml:space="preserve">Methodologically, we have advanced previous exploratory efforts to show diffusion processes among citizen initiatives for care. While these studies used proxies for the presence of other collectives in the vicinity, such as the distance to the nearest collective </w:t>
      </w:r>
      <w:r>
        <w:fldChar w:fldCharType="begin"/>
      </w:r>
      <w:r>
        <w:rPr>
          <w:rFonts w:cs="Times New Roman" w:ascii="Times New Roman" w:hAnsi="Times New Roman"/>
        </w:rPr>
        <w:instrText xml:space="preserve">ADDIN ZOTERO_ITEM CSL_CITATION {"citationID":"hwG628rS","properties":{"formattedCitation":"(van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w:instrText>
      </w:r>
      <w:r>
        <w:rPr>
          <w:rFonts w:cs="Times New Roman" w:ascii="Times New Roman" w:hAnsi="Times New Roman"/>
        </w:rPr>
      </w:r>
      <w:r>
        <w:rPr>
          <w:rFonts w:cs="Times New Roman" w:ascii="Times New Roman" w:hAnsi="Times New Roman"/>
        </w:rPr>
        <w:fldChar w:fldCharType="separate"/>
      </w:r>
      <w:r>
        <w:rPr>
          <w:rFonts w:cs="Times New Roman" w:ascii="Times New Roman" w:hAnsi="Times New Roman"/>
        </w:rPr>
        <w:t>(van der Knaap et al. 2019)</w:t>
      </w:r>
      <w:r>
        <w:rPr>
          <w:rFonts w:cs="Times New Roman" w:ascii="Times New Roman" w:hAnsi="Times New Roman"/>
        </w:rPr>
      </w:r>
      <w:r>
        <w:rPr>
          <w:rFonts w:cs="Times New Roman" w:ascii="Times New Roman" w:hAnsi="Times New Roman"/>
        </w:rPr>
        <w:fldChar w:fldCharType="end"/>
      </w:r>
      <w:r>
        <w:rPr>
          <w:rFonts w:cs="Times New Roman" w:ascii="Times New Roman" w:hAnsi="Times New Roman"/>
        </w:rPr>
        <w:t xml:space="preserve"> or a binary indicator for other collectives in the same municipality (Wittenberg, 2023 (forthcoming), we have explicitly and robustly modelled the spatial correlation of citizen care collectives, providing a more direct test of the theoretical framework. We have also shown how data-driven modelling may aid to separate an effect of interest from confounding variables in the absence of established theory-based statistical controls. To do so, we have combined an inventory of citizen collectives of a whole country with a large amount of objective administrative data. Finally, we have demonstrated how cross-validation techniques can be used to obtain residuals of such a data-driven model that are not prone to overfitting and how these may be used in subsequent analysis.</w:t>
      </w:r>
    </w:p>
    <w:p>
      <w:pPr>
        <w:pStyle w:val="Normal"/>
        <w:spacing w:lineRule="auto" w:line="480" w:before="0" w:after="0"/>
        <w:ind w:firstLine="708"/>
        <w:jc w:val="both"/>
        <w:rPr>
          <w:rFonts w:ascii="Times New Roman" w:hAnsi="Times New Roman" w:cs="Times New Roman"/>
        </w:rPr>
      </w:pPr>
      <w:r>
        <w:rPr>
          <w:rFonts w:cs="Times New Roman" w:ascii="Times New Roman" w:hAnsi="Times New Roman"/>
        </w:rPr>
        <w:t xml:space="preserve">There are of course also some constraints to the study design that should be considered. First, it should be noted that our data-driven approach to account for spurious spatial correlation rests on two key assumptions which, when violated, may cause us to respectively overestimate or underestimate the extent of diffusion. </w:t>
      </w:r>
      <w:r>
        <w:rPr>
          <w:rFonts w:cs="Times New Roman" w:ascii="Times New Roman" w:hAnsi="Times New Roman"/>
          <w:lang w:val="en-US"/>
        </w:rPr>
        <w:t>First, if not all relevant predictors of care collectives that also exhibit spatial correlation are included in the model, this may lead us to overestimate the extent to which spatial correlation is attributable to diffusion processes. We argue that this concern has been minimized by our use of an extensive database of administrative data at the zipcode level. Moreover, we combine this inventory with additional data from official elections and weighted neighborhood statistics. These data span a wide range of topics. The identification and subsequent inclusion of other variables would require foundational theoretical work, as well as the collection of large-scale representative data to accommodate it. Thus, we consider the risk of omitting important variables to be sufficiently limited. Though there will of course be a few relevant characteristics of the neighborhood that are not captured in our current approach.</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lang w:val="en-US"/>
        </w:rPr>
        <w:t xml:space="preserve">Second, if there is a positive feedback loop between the existence of care collectives and other zipcode attributes (e.g. if there is a care collective, more elderly residents will move to a region), these attributes may also spill-over into neighboring regions (e.g. the increase in facilities for elderly residents in a wider area due to the increased demand for such services, which makes these surrounding regions also more attractive for the elderly to settle). In such cases, there is actually diffusion process at play that is mediated by one of the correlates in the model. In our current approach, we underestimate diffusion of this kind. However, we expect diffusion of this type to be of limited importance, difficult to disentangle from spurious correlations, and of </w:t>
      </w:r>
      <w:r>
        <w:rPr>
          <w:rFonts w:cs="Times New Roman" w:ascii="Times New Roman" w:hAnsi="Times New Roman"/>
        </w:rPr>
        <w:t>little relation to the</w:t>
      </w:r>
      <w:r>
        <w:rPr>
          <w:rFonts w:cs="Times New Roman" w:ascii="Times New Roman" w:hAnsi="Times New Roman"/>
          <w:lang w:val="en-US"/>
        </w:rPr>
        <w:t xml:space="preserve"> theoretical </w:t>
      </w:r>
      <w:r>
        <w:rPr>
          <w:rFonts w:cs="Times New Roman" w:ascii="Times New Roman" w:hAnsi="Times New Roman"/>
        </w:rPr>
        <w:t>framework of</w:t>
      </w:r>
      <w:r>
        <w:rPr>
          <w:rFonts w:cs="Times New Roman" w:ascii="Times New Roman" w:hAnsi="Times New Roman"/>
          <w:lang w:val="en-US"/>
        </w:rPr>
        <w:t xml:space="preserve"> the current study. To that end, we do not take diffusion of this kind into consideration.</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rPr>
        <w:t>While</w:t>
      </w:r>
      <w:r>
        <w:rPr>
          <w:rFonts w:cs="Times New Roman" w:ascii="Times New Roman" w:hAnsi="Times New Roman"/>
          <w:lang w:val="en-US"/>
        </w:rPr>
        <w:t xml:space="preserve"> our results are consistent with our theoretical framework based on exchange of knowledge and norms between citizens, we cannot assess such micro-level mechanisms directly. </w:t>
      </w:r>
      <w:r>
        <w:rPr>
          <w:rFonts w:cs="Times New Roman" w:ascii="Times New Roman" w:hAnsi="Times New Roman"/>
        </w:rPr>
        <w:t>Instead, our focus was on the</w:t>
      </w:r>
      <w:r>
        <w:rPr>
          <w:rFonts w:cs="Times New Roman" w:ascii="Times New Roman" w:hAnsi="Times New Roman"/>
          <w:lang w:val="en-US"/>
        </w:rPr>
        <w:t xml:space="preserve"> level of measurement which we argue to reflect communities </w:t>
      </w:r>
      <w:r>
        <w:rPr>
          <w:rFonts w:cs="Times New Roman" w:ascii="Times New Roman" w:hAnsi="Times New Roman"/>
        </w:rPr>
        <w:t>(</w:t>
      </w:r>
      <w:r>
        <w:rPr>
          <w:rFonts w:cs="Times New Roman" w:ascii="Times New Roman" w:hAnsi="Times New Roman"/>
          <w:lang w:val="en-US"/>
        </w:rPr>
        <w:t>that of a zipcode</w:t>
      </w:r>
      <w:r>
        <w:rPr>
          <w:rFonts w:cs="Times New Roman" w:ascii="Times New Roman" w:hAnsi="Times New Roman"/>
        </w:rPr>
        <w:t>),</w:t>
      </w:r>
      <w:r>
        <w:rPr>
          <w:rFonts w:cs="Times New Roman" w:ascii="Times New Roman" w:hAnsi="Times New Roman"/>
          <w:lang w:val="en-US"/>
        </w:rPr>
        <w:t xml:space="preserve"> and we collapse the existence of multiple collectives within one zipcode into a single binary indicator. </w:t>
      </w:r>
      <w:r>
        <w:rPr>
          <w:rFonts w:cs="Times New Roman" w:ascii="Times New Roman" w:hAnsi="Times New Roman"/>
        </w:rPr>
        <w:t>We thus</w:t>
      </w:r>
      <w:r>
        <w:rPr>
          <w:rFonts w:cs="Times New Roman" w:ascii="Times New Roman" w:hAnsi="Times New Roman"/>
          <w:lang w:val="en-US"/>
        </w:rPr>
        <w:t xml:space="preserve"> cannot capture diffusion of care collectives</w:t>
      </w:r>
      <w:r>
        <w:rPr>
          <w:rFonts w:cs="Times New Roman" w:ascii="Times New Roman" w:hAnsi="Times New Roman"/>
        </w:rPr>
        <w:t xml:space="preserve"> within zipcodes, </w:t>
      </w:r>
      <w:r>
        <w:rPr>
          <w:rFonts w:cs="Times New Roman" w:ascii="Times New Roman" w:hAnsi="Times New Roman"/>
          <w:lang w:val="en-US"/>
        </w:rPr>
        <w:t xml:space="preserve">at the level of a singular collective and its members. </w:t>
      </w:r>
      <w:r>
        <w:rPr>
          <w:rFonts w:cs="Times New Roman" w:ascii="Times New Roman" w:hAnsi="Times New Roman"/>
        </w:rPr>
        <w:t xml:space="preserve">The reason for our binary coding was based on the variability in the number of members between collectives and the services they offer, rendering it difficult to compare a count of collectives in one area to that of another. In addition, the zipcode level was the lowest level of aggregation at which we have information about the location of citizen collectives for care in The Netherlands (though this is still more detailed information than was available to previous research on citizen initiatives, which was at the municipal level). Nevertheless, it would be a fruitful avenue of future research to delve deeper into specific mechanisms of knowledge exchange and the specificities of the mobilization patterns of citizens that form a citizen collective. </w:t>
      </w:r>
    </w:p>
    <w:p>
      <w:pPr>
        <w:pStyle w:val="Normal"/>
        <w:spacing w:lineRule="auto" w:line="480" w:before="0" w:after="0"/>
        <w:ind w:firstLine="708"/>
        <w:jc w:val="both"/>
        <w:rPr>
          <w:rFonts w:ascii="Times New Roman" w:hAnsi="Times New Roman" w:cs="Times New Roman"/>
          <w:lang w:val="en-US"/>
        </w:rPr>
      </w:pPr>
      <w:r>
        <w:rPr>
          <w:rFonts w:cs="Times New Roman" w:ascii="Times New Roman" w:hAnsi="Times New Roman"/>
        </w:rPr>
        <w:t>In addition, though</w:t>
      </w:r>
      <w:r>
        <w:rPr>
          <w:rFonts w:cs="Times New Roman" w:ascii="Times New Roman" w:hAnsi="Times New Roman"/>
          <w:lang w:val="en-US"/>
        </w:rPr>
        <w:t xml:space="preserve"> we have limited the scope of this research to collective action within the care domain, there is</w:t>
      </w:r>
      <w:r>
        <w:rPr>
          <w:rFonts w:cs="Times New Roman" w:ascii="Times New Roman" w:hAnsi="Times New Roman"/>
        </w:rPr>
        <w:t xml:space="preserve"> also </w:t>
      </w:r>
      <w:r>
        <w:rPr>
          <w:rFonts w:cs="Times New Roman" w:ascii="Times New Roman" w:hAnsi="Times New Roman"/>
          <w:lang w:val="en-US"/>
        </w:rPr>
        <w:t>some recent</w:t>
      </w:r>
      <w:r>
        <w:rPr>
          <w:rFonts w:cs="Times New Roman" w:ascii="Times New Roman" w:hAnsi="Times New Roman"/>
        </w:rPr>
        <w:t xml:space="preserve"> </w:t>
      </w:r>
      <w:r>
        <w:rPr>
          <w:rFonts w:cs="Times New Roman" w:ascii="Times New Roman" w:hAnsi="Times New Roman"/>
          <w:lang w:val="en-US"/>
        </w:rPr>
        <w:t xml:space="preserve">evidence to suggest that diffusion of citizen collectives may also work across sectors. For example, one study has shown that energy cooperatives in German districts co-exist frequently with cooperatives in other sectors, such as water provision, agriculture or cooperatives in the financial sector </w:t>
      </w:r>
      <w:r>
        <w:fldChar w:fldCharType="begin"/>
      </w:r>
      <w:r>
        <w:rPr>
          <w:rFonts w:cs="Times New Roman" w:ascii="Times New Roman" w:hAnsi="Times New Roman"/>
          <w:lang w:val="en-US"/>
        </w:rPr>
        <w:instrText xml:space="preserve">ADDIN ZOTERO_ITEM CSL_CITATION {"citationID":"bZ09TJ2q","properties":{"formattedCitation":"(Punt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(Punt et al. 2021)</w:t>
      </w:r>
      <w:r>
        <w:rPr>
          <w:rFonts w:cs="Times New Roman" w:ascii="Times New Roman" w:hAnsi="Times New Roman"/>
          <w:lang w:val="en-US"/>
        </w:rPr>
      </w:r>
      <w:r>
        <w:rPr>
          <w:rFonts w:cs="Times New Roman" w:ascii="Times New Roman" w:hAnsi="Times New Roman"/>
          <w:lang w:val="en-US"/>
        </w:rPr>
        <w:fldChar w:fldCharType="end"/>
      </w:r>
      <w:r>
        <w:rPr>
          <w:rFonts w:cs="Times New Roman" w:ascii="Times New Roman" w:hAnsi="Times New Roman"/>
          <w:lang w:val="en-US"/>
        </w:rPr>
        <w:t xml:space="preserve">. It would be </w:t>
      </w:r>
      <w:r>
        <w:rPr>
          <w:rFonts w:cs="Times New Roman" w:ascii="Times New Roman" w:hAnsi="Times New Roman"/>
        </w:rPr>
        <w:t>valuable</w:t>
      </w:r>
      <w:r>
        <w:rPr>
          <w:rFonts w:cs="Times New Roman" w:ascii="Times New Roman" w:hAnsi="Times New Roman"/>
          <w:lang w:val="en-US"/>
        </w:rPr>
        <w:t xml:space="preserve"> for future research to see if there is some universality to the diffusion of collective action, and whether the presence of citizen collectives for care is related to the presence of cooperatives in other sectors in the same region and the neighboring ones.</w:t>
      </w:r>
    </w:p>
    <w:p>
      <w:pPr>
        <w:pStyle w:val="Normal"/>
        <w:jc w:val="both"/>
        <w:rPr>
          <w:rFonts w:ascii="Times New Roman" w:hAnsi="Times New Roman"/>
        </w:rPr>
      </w:pPr>
      <w:r>
        <w:rPr>
          <w:rFonts w:ascii="Times New Roman" w:hAnsi="Times New Roman"/>
        </w:rPr>
      </w:r>
    </w:p>
    <w:p>
      <w:pPr>
        <w:pStyle w:val="Normal"/>
        <w:rPr>
          <w:rFonts w:ascii="Times New Roman" w:hAnsi="Times New Roman" w:cs="Times New Roman"/>
          <w:lang w:val="en-US"/>
        </w:rPr>
      </w:pPr>
      <w:r>
        <w:rPr>
          <w:rFonts w:cs="Times New Roman" w:ascii="Times New Roman" w:hAnsi="Times New Roman"/>
          <w:lang w:val="en-US"/>
        </w:rPr>
      </w:r>
      <w:r>
        <w:br w:type="page"/>
      </w:r>
    </w:p>
    <w:p>
      <w:pPr>
        <w:pStyle w:val="Bibliography"/>
        <w:rPr>
          <w:rFonts w:ascii="Times New Roman" w:hAnsi="Times New Roman" w:cs="Times New Roman"/>
          <w:i/>
          <w:i/>
          <w:iCs/>
        </w:rPr>
      </w:pPr>
      <w:r>
        <w:rPr>
          <w:rFonts w:cs="Times New Roman" w:ascii="Times New Roman" w:hAnsi="Times New Roman"/>
          <w:i/>
          <w:iCs/>
        </w:rPr>
        <w:t>Literature</w:t>
      </w:r>
    </w:p>
    <w:p>
      <w:pPr>
        <w:pStyle w:val="Bibliography"/>
        <w:rPr>
          <w:rFonts w:ascii="Times New Roman" w:hAnsi="Times New Roman" w:cs="Times New Roman"/>
        </w:rPr>
      </w:pPr>
      <w:r>
        <w:fldChar w:fldCharType="begin"/>
      </w:r>
      <w:r>
        <w:rPr/>
        <w:instrText xml:space="preserve">ADDIN ZOTERO_BIBL {"uncited":[],"omitted":[],"custom":[]} CSL_BIBLIOGRAPHY</w:instrText>
      </w:r>
      <w:r>
        <w:rPr/>
      </w:r>
      <w:r>
        <w:rPr/>
        <w:fldChar w:fldCharType="separate"/>
      </w:r>
      <w:r>
        <w:rPr/>
      </w:r>
      <w:r>
        <w:rPr>
          <w:rFonts w:cs="Times New Roman" w:ascii="Times New Roman" w:hAnsi="Times New Roman"/>
        </w:rPr>
        <w:t xml:space="preserve">Anon. 2021. “Praktijkvoorbeelden.” </w:t>
      </w:r>
      <w:r>
        <w:rPr>
          <w:rFonts w:cs="Times New Roman" w:ascii="Times New Roman" w:hAnsi="Times New Roman"/>
          <w:i/>
          <w:iCs/>
        </w:rPr>
        <w:t>NLZVE</w:t>
      </w:r>
      <w:r>
        <w:rPr>
          <w:rFonts w:cs="Times New Roman" w:ascii="Times New Roman" w:hAnsi="Times New Roman"/>
        </w:rPr>
        <w:t>. Retrieved March 10, 2021 (https://www.nlzorgtvoorelkaar.nl/helpdesk/praktijkvoorbeelden/default.aspx).</w:t>
      </w:r>
    </w:p>
    <w:p>
      <w:pPr>
        <w:pStyle w:val="Bibliography"/>
        <w:rPr>
          <w:rFonts w:ascii="Times New Roman" w:hAnsi="Times New Roman" w:cs="Times New Roman"/>
        </w:rPr>
      </w:pPr>
      <w:r>
        <w:rPr>
          <w:rFonts w:cs="Times New Roman" w:ascii="Times New Roman" w:hAnsi="Times New Roman"/>
        </w:rPr>
        <w:t>Anon. n.d. “Cooperative Identity, Values &amp; Principles | ICA.” Retrieved January 5, 2021 (https://www.ica.coop/en/cooperatives/cooperative-identity).</w:t>
      </w:r>
    </w:p>
    <w:p>
      <w:pPr>
        <w:pStyle w:val="Bibliography"/>
        <w:rPr>
          <w:rFonts w:ascii="Times New Roman" w:hAnsi="Times New Roman" w:cs="Times New Roman"/>
        </w:rPr>
      </w:pPr>
      <w:r>
        <w:rPr>
          <w:rFonts w:cs="Times New Roman" w:ascii="Times New Roman" w:hAnsi="Times New Roman"/>
        </w:rPr>
        <w:t xml:space="preserve">Anselin, Luc. 2007. </w:t>
      </w:r>
      <w:r>
        <w:rPr>
          <w:rFonts w:cs="Times New Roman" w:ascii="Times New Roman" w:hAnsi="Times New Roman"/>
          <w:i/>
          <w:iCs/>
        </w:rPr>
        <w:t>Exploring Spatial Data with GeoDa. A Workbook.</w:t>
      </w:r>
      <w:r>
        <w:rPr>
          <w:rFonts w:cs="Times New Roman" w:ascii="Times New Roman" w:hAnsi="Times New Roman"/>
        </w:rPr>
        <w:t xml:space="preserve"> Spatial Analysis Laboratory.</w:t>
      </w:r>
    </w:p>
    <w:p>
      <w:pPr>
        <w:pStyle w:val="Bibliography"/>
        <w:rPr>
          <w:rFonts w:ascii="Times New Roman" w:hAnsi="Times New Roman" w:cs="Times New Roman"/>
        </w:rPr>
      </w:pPr>
      <w:r>
        <w:rPr>
          <w:rFonts w:cs="Times New Roman" w:ascii="Times New Roman" w:hAnsi="Times New Roman"/>
        </w:rPr>
        <w:t xml:space="preserve">Anselin, Luc. 2010. “Local Indicators of Spatial Association-LISA.” </w:t>
      </w:r>
      <w:r>
        <w:rPr>
          <w:rFonts w:cs="Times New Roman" w:ascii="Times New Roman" w:hAnsi="Times New Roman"/>
          <w:i/>
          <w:iCs/>
        </w:rPr>
        <w:t>Geographical Analysis</w:t>
      </w:r>
      <w:r>
        <w:rPr>
          <w:rFonts w:cs="Times New Roman" w:ascii="Times New Roman" w:hAnsi="Times New Roman"/>
        </w:rPr>
        <w:t xml:space="preserve"> 27(2):93–115. doi: 10.1111/j.1538-4632.1995.tb00338.x.</w:t>
      </w:r>
    </w:p>
    <w:p>
      <w:pPr>
        <w:pStyle w:val="Bibliography"/>
        <w:rPr>
          <w:rFonts w:ascii="Times New Roman" w:hAnsi="Times New Roman" w:cs="Times New Roman"/>
        </w:rPr>
      </w:pPr>
      <w:r>
        <w:rPr>
          <w:rFonts w:cs="Times New Roman" w:ascii="Times New Roman" w:hAnsi="Times New Roman"/>
        </w:rPr>
        <w:t xml:space="preserve">van Ark, Eelke. 2016. “De zorgcoöperatie: Hoe ouderen zelf het zorgstelsel van onderop veranderen.” </w:t>
      </w:r>
      <w:r>
        <w:rPr>
          <w:rFonts w:cs="Times New Roman" w:ascii="Times New Roman" w:hAnsi="Times New Roman"/>
          <w:i/>
          <w:iCs/>
        </w:rPr>
        <w:t>Lucide</w:t>
      </w:r>
      <w:r>
        <w:rPr>
          <w:rFonts w:cs="Times New Roman" w:ascii="Times New Roman" w:hAnsi="Times New Roman"/>
        </w:rPr>
        <w:t xml:space="preserve"> 5(2):36–43. doi: 10.1007/s40408-016-0028-8.</w:t>
      </w:r>
    </w:p>
    <w:p>
      <w:pPr>
        <w:pStyle w:val="Bibliography"/>
        <w:rPr>
          <w:rFonts w:ascii="Times New Roman" w:hAnsi="Times New Roman" w:cs="Times New Roman"/>
        </w:rPr>
      </w:pPr>
      <w:r>
        <w:rPr>
          <w:rFonts w:cs="Times New Roman" w:ascii="Times New Roman" w:hAnsi="Times New Roman"/>
        </w:rPr>
        <w:t xml:space="preserve">Arlot, Sylvain, and Alain Celisse. 2010. “A Survey of Cross-Validation Procedures for Model Selection.” </w:t>
      </w:r>
      <w:r>
        <w:rPr>
          <w:rFonts w:cs="Times New Roman" w:ascii="Times New Roman" w:hAnsi="Times New Roman"/>
          <w:i/>
          <w:iCs/>
        </w:rPr>
        <w:t>Statistics Surveys</w:t>
      </w:r>
      <w:r>
        <w:rPr>
          <w:rFonts w:cs="Times New Roman" w:ascii="Times New Roman" w:hAnsi="Times New Roman"/>
        </w:rPr>
        <w:t xml:space="preserve"> 4(none). doi: 10.1214/09-SS054.</w:t>
      </w:r>
    </w:p>
    <w:p>
      <w:pPr>
        <w:pStyle w:val="Bibliography"/>
        <w:rPr>
          <w:rFonts w:ascii="Times New Roman" w:hAnsi="Times New Roman" w:cs="Times New Roman"/>
        </w:rPr>
      </w:pPr>
      <w:r>
        <w:rPr>
          <w:rFonts w:cs="Times New Roman" w:ascii="Times New Roman" w:hAnsi="Times New Roman"/>
        </w:rPr>
        <w:t xml:space="preserve">Baesens, Bart, Daniel Roesch, and Harald Scheule. 2016. </w:t>
      </w:r>
      <w:r>
        <w:rPr>
          <w:rFonts w:cs="Times New Roman" w:ascii="Times New Roman" w:hAnsi="Times New Roman"/>
          <w:i/>
          <w:iCs/>
        </w:rPr>
        <w:t>Credit Risk Analytics: Measurement Techniques, Applications, and Examples in SAS</w:t>
      </w:r>
      <w:r>
        <w:rPr>
          <w:rFonts w:cs="Times New Roman" w:ascii="Times New Roman" w:hAnsi="Times New Roman"/>
        </w:rPr>
        <w:t>. Hoboken, New Jersey: Wiley.</w:t>
      </w:r>
    </w:p>
    <w:p>
      <w:pPr>
        <w:pStyle w:val="Bibliography"/>
        <w:rPr>
          <w:rFonts w:ascii="Times New Roman" w:hAnsi="Times New Roman" w:cs="Times New Roman"/>
        </w:rPr>
      </w:pPr>
      <w:r>
        <w:rPr>
          <w:rFonts w:cs="Times New Roman" w:ascii="Times New Roman" w:hAnsi="Times New Roman"/>
        </w:rPr>
        <w:t xml:space="preserve">Berry, Frances Stokes, and William D. Berry. 1990. “State Lottery Adoptions as Policy Innovations: An Event History Analysis.” </w:t>
      </w:r>
      <w:r>
        <w:rPr>
          <w:rFonts w:cs="Times New Roman" w:ascii="Times New Roman" w:hAnsi="Times New Roman"/>
          <w:i/>
          <w:iCs/>
        </w:rPr>
        <w:t>American Political Science Review</w:t>
      </w:r>
      <w:r>
        <w:rPr>
          <w:rFonts w:cs="Times New Roman" w:ascii="Times New Roman" w:hAnsi="Times New Roman"/>
        </w:rPr>
        <w:t xml:space="preserve"> 84(2):395–415. doi: 10.2307/1963526.</w:t>
      </w:r>
    </w:p>
    <w:p>
      <w:pPr>
        <w:pStyle w:val="Bibliography"/>
        <w:rPr>
          <w:rFonts w:ascii="Times New Roman" w:hAnsi="Times New Roman" w:cs="Times New Roman"/>
        </w:rPr>
      </w:pPr>
      <w:r>
        <w:rPr>
          <w:rFonts w:cs="Times New Roman" w:ascii="Times New Roman" w:hAnsi="Times New Roman"/>
        </w:rPr>
        <w:t xml:space="preserve">Bokhorst, Meike. 2015. “De Koers van Zorgcoöperaties: Samenwerken Zonder Te Verworden Tot Paradepaard of Werkpaard van de Participatiesamenleving.” </w:t>
      </w:r>
      <w:r>
        <w:rPr>
          <w:rFonts w:cs="Times New Roman" w:ascii="Times New Roman" w:hAnsi="Times New Roman"/>
          <w:i/>
          <w:iCs/>
        </w:rPr>
        <w:t>Bestuurskunde</w:t>
      </w:r>
      <w:r>
        <w:rPr>
          <w:rFonts w:cs="Times New Roman" w:ascii="Times New Roman" w:hAnsi="Times New Roman"/>
        </w:rPr>
        <w:t xml:space="preserve"> 24(2). doi: 10.5553/Bk/092733872015024002003.</w:t>
      </w:r>
    </w:p>
    <w:p>
      <w:pPr>
        <w:pStyle w:val="Bibliography"/>
        <w:rPr>
          <w:rFonts w:ascii="Times New Roman" w:hAnsi="Times New Roman" w:cs="Times New Roman"/>
        </w:rPr>
      </w:pPr>
      <w:r>
        <w:rPr>
          <w:rFonts w:cs="Times New Roman" w:ascii="Times New Roman" w:hAnsi="Times New Roman"/>
        </w:rPr>
        <w:t xml:space="preserve">Boumans, Jogé, Winke Swinkels, Ien Van de Goor, and Katrien Luijkx. 2015. “Zorgcoöperaties: Een Wetenschappelijke Verkenning Vanuit Drie Perspectieven.” </w:t>
      </w:r>
      <w:r>
        <w:rPr>
          <w:rFonts w:cs="Times New Roman" w:ascii="Times New Roman" w:hAnsi="Times New Roman"/>
          <w:i/>
          <w:iCs/>
        </w:rPr>
        <w:t>Journal of Social Intervention: Theory and Practice</w:t>
      </w:r>
      <w:r>
        <w:rPr>
          <w:rFonts w:cs="Times New Roman" w:ascii="Times New Roman" w:hAnsi="Times New Roman"/>
        </w:rPr>
        <w:t xml:space="preserve"> 24(4):23. doi: 10.18352/jsi.441.</w:t>
      </w:r>
    </w:p>
    <w:p>
      <w:pPr>
        <w:pStyle w:val="Bibliography"/>
        <w:rPr>
          <w:rFonts w:ascii="Times New Roman" w:hAnsi="Times New Roman" w:cs="Times New Roman"/>
        </w:rPr>
      </w:pPr>
      <w:r>
        <w:rPr>
          <w:rFonts w:cs="Times New Roman" w:ascii="Times New Roman" w:hAnsi="Times New Roman"/>
        </w:rPr>
        <w:t>de Bruijn, D., S. Nourozi, H. van Xanten, S. Turnhout, F. de Jong, and K. van der Veer. 2016. “Wat knelt? Knelpunten bij burgerinitiatieven in zorg en ondersteuning.”</w:t>
      </w:r>
    </w:p>
    <w:p>
      <w:pPr>
        <w:pStyle w:val="Bibliography"/>
        <w:rPr>
          <w:rFonts w:ascii="Times New Roman" w:hAnsi="Times New Roman" w:cs="Times New Roman"/>
        </w:rPr>
      </w:pPr>
      <w:r>
        <w:rPr>
          <w:rFonts w:cs="Times New Roman" w:ascii="Times New Roman" w:hAnsi="Times New Roman"/>
        </w:rPr>
        <w:t xml:space="preserve">Buskirk, Trent D., Antje Kirchner, Adam Eck, and Curtis S. Signorino. 2018. “An Introduction to Machine Learning Methods for Survey Researchers.” </w:t>
      </w:r>
      <w:r>
        <w:rPr>
          <w:rFonts w:cs="Times New Roman" w:ascii="Times New Roman" w:hAnsi="Times New Roman"/>
          <w:i/>
          <w:iCs/>
        </w:rPr>
        <w:t>Survey Practice</w:t>
      </w:r>
      <w:r>
        <w:rPr>
          <w:rFonts w:cs="Times New Roman" w:ascii="Times New Roman" w:hAnsi="Times New Roman"/>
        </w:rPr>
        <w:t xml:space="preserve"> 11(1):1–10. doi: 10.29115/SP-2018-0004.</w:t>
      </w:r>
    </w:p>
    <w:p>
      <w:pPr>
        <w:pStyle w:val="Bibliography"/>
        <w:rPr>
          <w:rFonts w:ascii="Times New Roman" w:hAnsi="Times New Roman" w:cs="Times New Roman"/>
        </w:rPr>
      </w:pPr>
      <w:r>
        <w:rPr>
          <w:rFonts w:cs="Times New Roman" w:ascii="Times New Roman" w:hAnsi="Times New Roman"/>
        </w:rPr>
        <w:t>CBS. 2009. “Meeste Nederlanders wonen binnen 5 kilometer van ziekenhuis.” Retrieved June 27, 2023 (https://www.cbs.nl/nl-nl/nieuws/2009/33/meeste-nederlanders-wonen-binnen-5-kilometer-van-ziekenhuis).</w:t>
      </w:r>
    </w:p>
    <w:p>
      <w:pPr>
        <w:pStyle w:val="Bibliography"/>
        <w:rPr>
          <w:rFonts w:ascii="Times New Roman" w:hAnsi="Times New Roman" w:cs="Times New Roman"/>
        </w:rPr>
      </w:pPr>
      <w:r>
        <w:rPr>
          <w:rFonts w:cs="Times New Roman" w:ascii="Times New Roman" w:hAnsi="Times New Roman"/>
        </w:rPr>
        <w:t>CBS. 2016. “Vergrijzing meest toegenomen in Limburg.” Retrieved June 27, 2023 (https://www.cbs.nl/nl-nl/nieuws/2016/27/vergrijzing-meest-toegenomen-in-limburg).</w:t>
      </w:r>
    </w:p>
    <w:p>
      <w:pPr>
        <w:pStyle w:val="Bibliography"/>
        <w:rPr>
          <w:rFonts w:ascii="Times New Roman" w:hAnsi="Times New Roman" w:cs="Times New Roman"/>
        </w:rPr>
      </w:pPr>
      <w:r>
        <w:rPr>
          <w:rFonts w:cs="Times New Roman" w:ascii="Times New Roman" w:hAnsi="Times New Roman"/>
        </w:rPr>
        <w:t xml:space="preserve">Cliff, A. D., and J. K. Ord. 1981. </w:t>
      </w:r>
      <w:r>
        <w:rPr>
          <w:rFonts w:cs="Times New Roman" w:ascii="Times New Roman" w:hAnsi="Times New Roman"/>
          <w:i/>
          <w:iCs/>
        </w:rPr>
        <w:t>Spatial Processes: Models &amp; Applications</w:t>
      </w:r>
      <w:r>
        <w:rPr>
          <w:rFonts w:cs="Times New Roman" w:ascii="Times New Roman" w:hAnsi="Times New Roman"/>
        </w:rPr>
        <w:t>. London: Pion.</w:t>
      </w:r>
    </w:p>
    <w:p>
      <w:pPr>
        <w:pStyle w:val="Bibliography"/>
        <w:rPr>
          <w:rFonts w:ascii="Times New Roman" w:hAnsi="Times New Roman" w:cs="Times New Roman"/>
        </w:rPr>
      </w:pPr>
      <w:r>
        <w:rPr>
          <w:rFonts w:cs="Times New Roman" w:ascii="Times New Roman" w:hAnsi="Times New Roman"/>
        </w:rPr>
        <w:t xml:space="preserve">De Moor, Tine. 2008. “The Silent Revolution: A New Perspective on the Emergence of Commons, Guilds, and Other Forms of Corporate Collective Action in Western Europe.” </w:t>
      </w:r>
      <w:r>
        <w:rPr>
          <w:rFonts w:cs="Times New Roman" w:ascii="Times New Roman" w:hAnsi="Times New Roman"/>
          <w:i/>
          <w:iCs/>
        </w:rPr>
        <w:t>International Review of Social History</w:t>
      </w:r>
      <w:r>
        <w:rPr>
          <w:rFonts w:cs="Times New Roman" w:ascii="Times New Roman" w:hAnsi="Times New Roman"/>
        </w:rPr>
        <w:t xml:space="preserve"> 53(S16):179–212. doi: 10.1017/S0020859008003660.</w:t>
      </w:r>
    </w:p>
    <w:p>
      <w:pPr>
        <w:pStyle w:val="Bibliography"/>
        <w:rPr>
          <w:rFonts w:ascii="Times New Roman" w:hAnsi="Times New Roman" w:cs="Times New Roman"/>
        </w:rPr>
      </w:pPr>
      <w:r>
        <w:rPr>
          <w:rFonts w:cs="Times New Roman" w:ascii="Times New Roman" w:hAnsi="Times New Roman"/>
        </w:rPr>
        <w:t xml:space="preserve">De Moor, Tine. 2013. </w:t>
      </w:r>
      <w:r>
        <w:rPr>
          <w:rFonts w:cs="Times New Roman" w:ascii="Times New Roman" w:hAnsi="Times New Roman"/>
          <w:i/>
          <w:iCs/>
        </w:rPr>
        <w:t>Homo Cooperans. Instituties Voor Collective Actie En de Solidaire Samenleving.</w:t>
      </w:r>
      <w:r>
        <w:rPr>
          <w:rFonts w:cs="Times New Roman" w:ascii="Times New Roman" w:hAnsi="Times New Roman"/>
        </w:rPr>
        <w:t xml:space="preserve"> Universiteit Utrecht, Faculteit Geesteswetenschappen.</w:t>
      </w:r>
    </w:p>
    <w:p>
      <w:pPr>
        <w:pStyle w:val="Bibliography"/>
        <w:rPr>
          <w:rFonts w:ascii="Times New Roman" w:hAnsi="Times New Roman" w:cs="Times New Roman"/>
        </w:rPr>
      </w:pPr>
      <w:r>
        <w:rPr>
          <w:rFonts w:cs="Times New Roman" w:ascii="Times New Roman" w:hAnsi="Times New Roman"/>
        </w:rPr>
        <w:t>Denters, Sebastianus, A. H., Evelien Tonkens, Imrat Verhoeven, and Judith Bakker. 2013. “Burgers Maken Hun Buurt.”</w:t>
      </w:r>
    </w:p>
    <w:p>
      <w:pPr>
        <w:pStyle w:val="Bibliography"/>
        <w:rPr>
          <w:rFonts w:ascii="Times New Roman" w:hAnsi="Times New Roman" w:cs="Times New Roman"/>
        </w:rPr>
      </w:pPr>
      <w:r>
        <w:rPr>
          <w:rFonts w:cs="Times New Roman" w:ascii="Times New Roman" w:hAnsi="Times New Roman"/>
        </w:rPr>
        <w:t>Dorssers, Els. 2013. “Een Regenboog Aan Zorgcollectieven. Zelfsturende Zorgkracht in Limburg.”</w:t>
      </w:r>
    </w:p>
    <w:p>
      <w:pPr>
        <w:pStyle w:val="Bibliography"/>
        <w:rPr>
          <w:rFonts w:ascii="Times New Roman" w:hAnsi="Times New Roman" w:cs="Times New Roman"/>
        </w:rPr>
      </w:pPr>
      <w:r>
        <w:rPr>
          <w:rFonts w:cs="Times New Roman" w:ascii="Times New Roman" w:hAnsi="Times New Roman"/>
        </w:rPr>
        <w:t xml:space="preserve">Ferrence, Roberta. 2001. “Diffusion Theory and Drug Use.” </w:t>
      </w:r>
      <w:r>
        <w:rPr>
          <w:rFonts w:cs="Times New Roman" w:ascii="Times New Roman" w:hAnsi="Times New Roman"/>
          <w:i/>
          <w:iCs/>
        </w:rPr>
        <w:t>Addiction</w:t>
      </w:r>
      <w:r>
        <w:rPr>
          <w:rFonts w:cs="Times New Roman" w:ascii="Times New Roman" w:hAnsi="Times New Roman"/>
        </w:rPr>
        <w:t xml:space="preserve"> 96(1):165–73. doi: 10.1046/j.1360-0443.2001.96116512.x.</w:t>
      </w:r>
    </w:p>
    <w:p>
      <w:pPr>
        <w:pStyle w:val="Bibliography"/>
        <w:rPr>
          <w:rFonts w:ascii="Times New Roman" w:hAnsi="Times New Roman" w:cs="Times New Roman"/>
        </w:rPr>
      </w:pPr>
      <w:r>
        <w:rPr>
          <w:rFonts w:cs="Times New Roman" w:ascii="Times New Roman" w:hAnsi="Times New Roman"/>
        </w:rPr>
        <w:t xml:space="preserve">Grimmer, Justin, Margaret E. Roberts, and Brandon M. Stewart. 2021. “Machine Learning for Social Science: An Agnostic Approach.” </w:t>
      </w:r>
      <w:r>
        <w:rPr>
          <w:rFonts w:cs="Times New Roman" w:ascii="Times New Roman" w:hAnsi="Times New Roman"/>
          <w:i/>
          <w:iCs/>
        </w:rPr>
        <w:t>Annual Review of Political Science</w:t>
      </w:r>
      <w:r>
        <w:rPr>
          <w:rFonts w:cs="Times New Roman" w:ascii="Times New Roman" w:hAnsi="Times New Roman"/>
        </w:rPr>
        <w:t xml:space="preserve"> 24(1):395–419. doi: 10.1146/annurev-polisci-053119-015921.</w:t>
      </w:r>
    </w:p>
    <w:p>
      <w:pPr>
        <w:pStyle w:val="Bibliography"/>
        <w:rPr>
          <w:rFonts w:ascii="Times New Roman" w:hAnsi="Times New Roman" w:cs="Times New Roman"/>
        </w:rPr>
      </w:pPr>
      <w:r>
        <w:rPr>
          <w:rFonts w:cs="Times New Roman" w:ascii="Times New Roman" w:hAnsi="Times New Roman"/>
        </w:rPr>
        <w:t xml:space="preserve">van Heck, Sjoerd. 2019. “Politieke partijen in Nederland: eenheidsworst of niet?” </w:t>
      </w:r>
      <w:r>
        <w:rPr>
          <w:rFonts w:cs="Times New Roman" w:ascii="Times New Roman" w:hAnsi="Times New Roman"/>
          <w:i/>
          <w:iCs/>
        </w:rPr>
        <w:t>Politiek met Sjoerd</w:t>
      </w:r>
      <w:r>
        <w:rPr>
          <w:rFonts w:cs="Times New Roman" w:ascii="Times New Roman" w:hAnsi="Times New Roman"/>
        </w:rPr>
        <w:t>. Retrieved July 17, 2023 (https://www.ipsos.com/nl-nl/politiek-met-sjoerd-politieke-partijen-nederland-eenheidsworst-niet).</w:t>
      </w:r>
    </w:p>
    <w:p>
      <w:pPr>
        <w:pStyle w:val="Bibliography"/>
        <w:rPr>
          <w:rFonts w:ascii="Times New Roman" w:hAnsi="Times New Roman" w:cs="Times New Roman"/>
        </w:rPr>
      </w:pPr>
      <w:r>
        <w:rPr>
          <w:rFonts w:cs="Times New Roman" w:ascii="Times New Roman" w:hAnsi="Times New Roman"/>
        </w:rPr>
        <w:t>ICA. n.d. “Cooperative Identity, Values &amp; Principles.” Retrieved December 10, 2021 (https://www.ica.coop/en/cooperatives/cooperative-identity).</w:t>
      </w:r>
    </w:p>
    <w:p>
      <w:pPr>
        <w:pStyle w:val="Bibliography"/>
        <w:rPr>
          <w:rFonts w:ascii="Times New Roman" w:hAnsi="Times New Roman" w:cs="Times New Roman"/>
        </w:rPr>
      </w:pPr>
      <w:r>
        <w:rPr>
          <w:rFonts w:cs="Times New Roman" w:ascii="Times New Roman" w:hAnsi="Times New Roman"/>
        </w:rPr>
        <w:t xml:space="preserve">Igalla, Malika, Jurian Edelenbos, and Ingmar van Meerkerk. 2019. “Citizens in Action, What Do They Accomplish? A Systematic Literature Review of Citizen Initiatives, Their Main Characteristics, Outcomes, and Factors.” </w:t>
      </w:r>
      <w:r>
        <w:rPr>
          <w:rFonts w:cs="Times New Roman" w:ascii="Times New Roman" w:hAnsi="Times New Roman"/>
          <w:i/>
          <w:iCs/>
        </w:rPr>
        <w:t>VOLUNTAS: International Journal of Voluntary and Nonprofit Organizations</w:t>
      </w:r>
      <w:r>
        <w:rPr>
          <w:rFonts w:cs="Times New Roman" w:ascii="Times New Roman" w:hAnsi="Times New Roman"/>
        </w:rPr>
        <w:t xml:space="preserve"> 30(5):1176–94. doi: 10.1007/s11266-019-00129-0.</w:t>
      </w:r>
    </w:p>
    <w:p>
      <w:pPr>
        <w:pStyle w:val="Bibliography"/>
        <w:rPr>
          <w:rFonts w:ascii="Times New Roman" w:hAnsi="Times New Roman" w:cs="Times New Roman"/>
        </w:rPr>
      </w:pPr>
      <w:r>
        <w:rPr>
          <w:rFonts w:cs="Times New Roman" w:ascii="Times New Roman" w:hAnsi="Times New Roman"/>
        </w:rPr>
        <w:t xml:space="preserve">de Klerk, Mirjam, Alice de Boer, Inger Plaisier, and Peggy Schyns. 2018. “Overheid wil eerst eigen netwerk, burgers zien dat toch anders.” </w:t>
      </w:r>
      <w:r>
        <w:rPr>
          <w:rFonts w:cs="Times New Roman" w:ascii="Times New Roman" w:hAnsi="Times New Roman"/>
          <w:i/>
          <w:iCs/>
        </w:rPr>
        <w:t>Sociale Vraagstukken</w:t>
      </w:r>
      <w:r>
        <w:rPr>
          <w:rFonts w:cs="Times New Roman" w:ascii="Times New Roman" w:hAnsi="Times New Roman"/>
        </w:rPr>
        <w:t>, February 13.</w:t>
      </w:r>
    </w:p>
    <w:p>
      <w:pPr>
        <w:pStyle w:val="Bibliography"/>
        <w:rPr>
          <w:rFonts w:ascii="Times New Roman" w:hAnsi="Times New Roman" w:cs="Times New Roman"/>
        </w:rPr>
      </w:pPr>
      <w:r>
        <w:rPr>
          <w:rFonts w:cs="Times New Roman" w:ascii="Times New Roman" w:hAnsi="Times New Roman"/>
        </w:rPr>
        <w:t xml:space="preserve">van der Knaap, Thijs, Jan Smelik, Floor de Jong, Peter Spreeuwenberg, and Peter P. Groenewegen. 2019. “Citizens’ Initiatives for Care and Welfare in the Netherlands: An Ecological Analysis.” </w:t>
      </w:r>
      <w:r>
        <w:rPr>
          <w:rFonts w:cs="Times New Roman" w:ascii="Times New Roman" w:hAnsi="Times New Roman"/>
          <w:i/>
          <w:iCs/>
        </w:rPr>
        <w:t>BMC Public Health</w:t>
      </w:r>
      <w:r>
        <w:rPr>
          <w:rFonts w:cs="Times New Roman" w:ascii="Times New Roman" w:hAnsi="Times New Roman"/>
        </w:rPr>
        <w:t xml:space="preserve"> 19(1):1334. doi: 10.1186/s12889-019-7599-y.</w:t>
      </w:r>
    </w:p>
    <w:p>
      <w:pPr>
        <w:pStyle w:val="Bibliography"/>
        <w:rPr>
          <w:rFonts w:ascii="Times New Roman" w:hAnsi="Times New Roman" w:cs="Times New Roman"/>
        </w:rPr>
      </w:pPr>
      <w:r>
        <w:rPr>
          <w:rFonts w:cs="Times New Roman" w:ascii="Times New Roman" w:hAnsi="Times New Roman"/>
        </w:rPr>
        <w:t xml:space="preserve">Kotsiantis, S. B. 2007. “Supervised Machine Learning: A Review of Classification Techniques.” Pp. 3–24 in </w:t>
      </w:r>
      <w:r>
        <w:rPr>
          <w:rFonts w:cs="Times New Roman" w:ascii="Times New Roman" w:hAnsi="Times New Roman"/>
          <w:i/>
          <w:iCs/>
        </w:rPr>
        <w:t>Proceedings of the 2007 Conference on Emerging Artificial Intelligence Applications in Computer Engineering: Real Word AI Systems with Applications in EHealth, HCI, Information Retrieval and Pervasive Technologies</w:t>
      </w:r>
      <w:r>
        <w:rPr>
          <w:rFonts w:cs="Times New Roman" w:ascii="Times New Roman" w:hAnsi="Times New Roman"/>
        </w:rPr>
        <w:t>. NLD: IOS Press.</w:t>
      </w:r>
    </w:p>
    <w:p>
      <w:pPr>
        <w:pStyle w:val="Bibliography"/>
        <w:rPr>
          <w:rFonts w:ascii="Times New Roman" w:hAnsi="Times New Roman" w:cs="Times New Roman"/>
        </w:rPr>
      </w:pPr>
      <w:r>
        <w:rPr>
          <w:rFonts w:cs="Times New Roman" w:ascii="Times New Roman" w:hAnsi="Times New Roman"/>
        </w:rPr>
        <w:t xml:space="preserve">Kuhn, Max, and Kjell Johnson. 2020. </w:t>
      </w:r>
      <w:r>
        <w:rPr>
          <w:rFonts w:cs="Times New Roman" w:ascii="Times New Roman" w:hAnsi="Times New Roman"/>
          <w:i/>
          <w:iCs/>
        </w:rPr>
        <w:t>Feature Engineering and Selection: A Practical Approach for Predictive Models</w:t>
      </w:r>
      <w:r>
        <w:rPr>
          <w:rFonts w:cs="Times New Roman" w:ascii="Times New Roman" w:hAnsi="Times New Roman"/>
        </w:rPr>
        <w:t>. Boca Raton London New York: CRC Press, Taylor &amp; Francis Group.</w:t>
      </w:r>
    </w:p>
    <w:p>
      <w:pPr>
        <w:pStyle w:val="Bibliography"/>
        <w:rPr>
          <w:rFonts w:ascii="Times New Roman" w:hAnsi="Times New Roman" w:cs="Times New Roman"/>
        </w:rPr>
      </w:pPr>
      <w:r>
        <w:rPr>
          <w:rFonts w:cs="Times New Roman" w:ascii="Times New Roman" w:hAnsi="Times New Roman"/>
        </w:rPr>
        <w:t xml:space="preserve">Lundberg, Ian, Jennie E. Brand, and Nanum Jeon. 2022. “Researcher Reasoning Meets Computational Capacity: Machine Learning for Social Science.” </w:t>
      </w:r>
      <w:r>
        <w:rPr>
          <w:rFonts w:cs="Times New Roman" w:ascii="Times New Roman" w:hAnsi="Times New Roman"/>
          <w:i/>
          <w:iCs/>
        </w:rPr>
        <w:t>Social Science Research</w:t>
      </w:r>
      <w:r>
        <w:rPr>
          <w:rFonts w:cs="Times New Roman" w:ascii="Times New Roman" w:hAnsi="Times New Roman"/>
        </w:rPr>
        <w:t xml:space="preserve"> 108:102807. doi: 10.1016/j.ssresearch.2022.102807.</w:t>
      </w:r>
    </w:p>
    <w:p>
      <w:pPr>
        <w:pStyle w:val="Bibliography"/>
        <w:rPr>
          <w:rFonts w:ascii="Times New Roman" w:hAnsi="Times New Roman" w:cs="Times New Roman"/>
        </w:rPr>
      </w:pPr>
      <w:r>
        <w:rPr>
          <w:rFonts w:cs="Times New Roman" w:ascii="Times New Roman" w:hAnsi="Times New Roman"/>
        </w:rPr>
        <w:t xml:space="preserve">Mahesh, Batta. 2020. “Machine Learning Algorithms—A Review.” </w:t>
      </w:r>
      <w:r>
        <w:rPr>
          <w:rFonts w:cs="Times New Roman" w:ascii="Times New Roman" w:hAnsi="Times New Roman"/>
          <w:i/>
          <w:iCs/>
        </w:rPr>
        <w:t>International Journal of Science and Research</w:t>
      </w:r>
      <w:r>
        <w:rPr>
          <w:rFonts w:cs="Times New Roman" w:ascii="Times New Roman" w:hAnsi="Times New Roman"/>
        </w:rPr>
        <w:t xml:space="preserve"> 9(1).</w:t>
      </w:r>
    </w:p>
    <w:p>
      <w:pPr>
        <w:pStyle w:val="Bibliography"/>
        <w:rPr>
          <w:rFonts w:ascii="Times New Roman" w:hAnsi="Times New Roman" w:cs="Times New Roman"/>
        </w:rPr>
      </w:pPr>
      <w:r>
        <w:rPr>
          <w:rFonts w:cs="Times New Roman" w:ascii="Times New Roman" w:hAnsi="Times New Roman"/>
        </w:rPr>
        <w:t xml:space="preserve">de Moor, Tine, Ton Duffhues, Eline Karlas, and Carolien Veldsink. 2020. </w:t>
      </w:r>
      <w:r>
        <w:rPr>
          <w:rFonts w:cs="Times New Roman" w:ascii="Times New Roman" w:hAnsi="Times New Roman"/>
          <w:i/>
          <w:iCs/>
        </w:rPr>
        <w:t>KRACHTIGER ALS COLLECTIEF UITDAGINGEN VAN BURGERCOLLECTIEVEN IN NEDERLAND, ANNO 2020</w:t>
      </w:r>
      <w:r>
        <w:rPr>
          <w:rFonts w:cs="Times New Roman" w:ascii="Times New Roman" w:hAnsi="Times New Roman"/>
        </w:rPr>
        <w:t>. Erasmus Rotterdam School of Management.</w:t>
      </w:r>
    </w:p>
    <w:p>
      <w:pPr>
        <w:pStyle w:val="Bibliography"/>
        <w:rPr>
          <w:rFonts w:ascii="Times New Roman" w:hAnsi="Times New Roman" w:cs="Times New Roman"/>
        </w:rPr>
      </w:pPr>
      <w:r>
        <w:rPr>
          <w:rFonts w:cs="Times New Roman" w:ascii="Times New Roman" w:hAnsi="Times New Roman"/>
        </w:rPr>
        <w:t xml:space="preserve">Moran, P. A. P. 1950. “Notes on Continuous Stochastic Phenomena.” </w:t>
      </w:r>
      <w:r>
        <w:rPr>
          <w:rFonts w:cs="Times New Roman" w:ascii="Times New Roman" w:hAnsi="Times New Roman"/>
          <w:i/>
          <w:iCs/>
        </w:rPr>
        <w:t>Biometrika</w:t>
      </w:r>
      <w:r>
        <w:rPr>
          <w:rFonts w:cs="Times New Roman" w:ascii="Times New Roman" w:hAnsi="Times New Roman"/>
        </w:rPr>
        <w:t xml:space="preserve"> 37(1/2):17. doi: 10.2307/2332142.</w:t>
      </w:r>
    </w:p>
    <w:p>
      <w:pPr>
        <w:pStyle w:val="Bibliography"/>
        <w:rPr>
          <w:rFonts w:ascii="Times New Roman" w:hAnsi="Times New Roman" w:cs="Times New Roman"/>
        </w:rPr>
      </w:pPr>
      <w:r>
        <w:rPr>
          <w:rFonts w:cs="Times New Roman" w:ascii="Times New Roman" w:hAnsi="Times New Roman"/>
        </w:rPr>
        <w:t>Nederland Zorgt Voor Elkaar. n.d. “Ondersteuningsteam NLZVE.” Retrieved October 25, 2022 (https://www.nlzorgtvoorelkaar.nl/ondersteuningsteam/default.aspx).</w:t>
      </w:r>
    </w:p>
    <w:p>
      <w:pPr>
        <w:pStyle w:val="Bibliography"/>
        <w:rPr>
          <w:rFonts w:ascii="Times New Roman" w:hAnsi="Times New Roman" w:cs="Times New Roman"/>
        </w:rPr>
      </w:pPr>
      <w:r>
        <w:rPr>
          <w:rFonts w:cs="Times New Roman" w:ascii="Times New Roman" w:hAnsi="Times New Roman"/>
        </w:rPr>
        <w:t xml:space="preserve">Parikh, Rajul, Annie Mathai, Shefali Parikh, G. Chandra Sekhar, and Ravi Thomas. 2008. “Understanding and Using Sensitivity, Specificity and Predictive Values.” </w:t>
      </w:r>
      <w:r>
        <w:rPr>
          <w:rFonts w:cs="Times New Roman" w:ascii="Times New Roman" w:hAnsi="Times New Roman"/>
          <w:i/>
          <w:iCs/>
        </w:rPr>
        <w:t>Indian Journal of Ophthalmology</w:t>
      </w:r>
      <w:r>
        <w:rPr>
          <w:rFonts w:cs="Times New Roman" w:ascii="Times New Roman" w:hAnsi="Times New Roman"/>
        </w:rPr>
        <w:t xml:space="preserve"> 56(1):45. doi: 10.4103/0301-4738.37595.</w:t>
      </w:r>
    </w:p>
    <w:p>
      <w:pPr>
        <w:pStyle w:val="Bibliography"/>
        <w:rPr>
          <w:rFonts w:ascii="Times New Roman" w:hAnsi="Times New Roman" w:cs="Times New Roman"/>
        </w:rPr>
      </w:pPr>
      <w:r>
        <w:rPr>
          <w:rFonts w:cs="Times New Roman" w:ascii="Times New Roman" w:hAnsi="Times New Roman"/>
        </w:rPr>
        <w:t>Probst, Philipp, Bernd Bischl, and Anne-Laure Boulesteix. 2018. “Tunability: Importance of Hyperparameters of Machine Learning Algorithms.” doi: 10.48550/ARXIV.1802.09596.</w:t>
      </w:r>
    </w:p>
    <w:p>
      <w:pPr>
        <w:pStyle w:val="Bibliography"/>
        <w:rPr>
          <w:rFonts w:ascii="Times New Roman" w:hAnsi="Times New Roman" w:cs="Times New Roman"/>
        </w:rPr>
      </w:pPr>
      <w:r>
        <w:rPr>
          <w:rFonts w:cs="Times New Roman" w:ascii="Times New Roman" w:hAnsi="Times New Roman"/>
        </w:rPr>
        <w:t xml:space="preserve">Punt, Matthijs B., Thomas Bauwens, Koen Frenken, and Lars Holstenkamp. 2021. “Institutional Relatedness and the Emergence of Renewable Energy Cooperatives in German Districts.” </w:t>
      </w:r>
      <w:r>
        <w:rPr>
          <w:rFonts w:cs="Times New Roman" w:ascii="Times New Roman" w:hAnsi="Times New Roman"/>
          <w:i/>
          <w:iCs/>
        </w:rPr>
        <w:t>Regional Studies</w:t>
      </w:r>
      <w:r>
        <w:rPr>
          <w:rFonts w:cs="Times New Roman" w:ascii="Times New Roman" w:hAnsi="Times New Roman"/>
        </w:rPr>
        <w:t xml:space="preserve"> 1–15. doi: 10.1080/00343404.2021.1890708.</w:t>
      </w:r>
    </w:p>
    <w:p>
      <w:pPr>
        <w:pStyle w:val="Bibliography"/>
        <w:rPr>
          <w:rFonts w:ascii="Times New Roman" w:hAnsi="Times New Roman" w:cs="Times New Roman"/>
        </w:rPr>
      </w:pPr>
      <w:r>
        <w:rPr>
          <w:rFonts w:cs="Times New Roman" w:ascii="Times New Roman" w:hAnsi="Times New Roman"/>
        </w:rPr>
        <w:t xml:space="preserve">PwC. n.d. “Depleting Resources Adding Pressure to Healthcare.” </w:t>
      </w:r>
      <w:r>
        <w:rPr>
          <w:rFonts w:cs="Times New Roman" w:ascii="Times New Roman" w:hAnsi="Times New Roman"/>
          <w:i/>
          <w:iCs/>
        </w:rPr>
        <w:t>Pwc</w:t>
      </w:r>
      <w:r>
        <w:rPr>
          <w:rFonts w:cs="Times New Roman" w:ascii="Times New Roman" w:hAnsi="Times New Roman"/>
        </w:rPr>
        <w:t>. Retrieved February 23, 2021 (https://www.pwc.com/gx/en/industries/healthcare/emerging-trends-pwc-healthcare/depleting-resources.html).</w:t>
      </w:r>
    </w:p>
    <w:p>
      <w:pPr>
        <w:pStyle w:val="Bibliography"/>
        <w:rPr>
          <w:rFonts w:ascii="Times New Roman" w:hAnsi="Times New Roman" w:cs="Times New Roman"/>
        </w:rPr>
      </w:pPr>
      <w:r>
        <w:rPr>
          <w:rFonts w:cs="Times New Roman" w:ascii="Times New Roman" w:hAnsi="Times New Roman"/>
        </w:rPr>
        <w:t xml:space="preserve">Rogers, Everett M. 1983. </w:t>
      </w:r>
      <w:r>
        <w:rPr>
          <w:rFonts w:cs="Times New Roman" w:ascii="Times New Roman" w:hAnsi="Times New Roman"/>
          <w:i/>
          <w:iCs/>
        </w:rPr>
        <w:t>Diffusion of Innovations</w:t>
      </w:r>
      <w:r>
        <w:rPr>
          <w:rFonts w:cs="Times New Roman" w:ascii="Times New Roman" w:hAnsi="Times New Roman"/>
        </w:rPr>
        <w:t>. 3rd ed. New York : London: Free Press ; Collier Macmillan.</w:t>
      </w:r>
    </w:p>
    <w:p>
      <w:pPr>
        <w:pStyle w:val="Bibliography"/>
        <w:rPr>
          <w:rFonts w:ascii="Times New Roman" w:hAnsi="Times New Roman" w:cs="Times New Roman"/>
        </w:rPr>
      </w:pPr>
      <w:r>
        <w:rPr>
          <w:rFonts w:cs="Times New Roman" w:ascii="Times New Roman" w:hAnsi="Times New Roman"/>
        </w:rPr>
        <w:t>Romme, A. J. P. 2014. “De Revival van de Coöperatie:De Buurt- En Dorpscoöperaties. Kwalitatief Onderzoek Naar de Visie van Direct Betrokkenen van Buurt- En Dorpscoöperaties Op Factoren Die Belangrijk Zijn Voor Het Oprichten En Vitaal Houden van Dergelijke Burgerorganisaties.” Utrecht University, Utrecht.</w:t>
      </w:r>
    </w:p>
    <w:p>
      <w:pPr>
        <w:pStyle w:val="Bibliography"/>
        <w:rPr>
          <w:rFonts w:ascii="Times New Roman" w:hAnsi="Times New Roman" w:cs="Times New Roman"/>
        </w:rPr>
      </w:pPr>
      <w:r>
        <w:rPr>
          <w:rFonts w:cs="Times New Roman" w:ascii="Times New Roman" w:hAnsi="Times New Roman"/>
        </w:rPr>
        <w:t xml:space="preserve">Saar-Tsechansky, Maytal, and Foster J. Provost. 2007. “Handling Missing Values When Applying Classification Models.” </w:t>
      </w:r>
      <w:r>
        <w:rPr>
          <w:rFonts w:cs="Times New Roman" w:ascii="Times New Roman" w:hAnsi="Times New Roman"/>
          <w:i/>
          <w:iCs/>
        </w:rPr>
        <w:t>J. Mach. Learn. Res.</w:t>
      </w:r>
      <w:r>
        <w:rPr>
          <w:rFonts w:cs="Times New Roman" w:ascii="Times New Roman" w:hAnsi="Times New Roman"/>
        </w:rPr>
        <w:t xml:space="preserve"> 8:1623–57.</w:t>
      </w:r>
    </w:p>
    <w:p>
      <w:pPr>
        <w:pStyle w:val="Bibliography"/>
        <w:rPr>
          <w:rFonts w:ascii="Times New Roman" w:hAnsi="Times New Roman" w:cs="Times New Roman"/>
        </w:rPr>
      </w:pPr>
      <w:r>
        <w:rPr>
          <w:rFonts w:cs="Times New Roman" w:ascii="Times New Roman" w:hAnsi="Times New Roman"/>
        </w:rPr>
        <w:t>SCP. 2019. “Mantelzorgers in Het Vizier. Beleidssignalement Mantelzorg.”</w:t>
      </w:r>
    </w:p>
    <w:p>
      <w:pPr>
        <w:pStyle w:val="Bibliography"/>
        <w:rPr>
          <w:rFonts w:ascii="Times New Roman" w:hAnsi="Times New Roman" w:cs="Times New Roman"/>
        </w:rPr>
      </w:pPr>
      <w:r>
        <w:rPr>
          <w:rFonts w:cs="Times New Roman" w:ascii="Times New Roman" w:hAnsi="Times New Roman"/>
        </w:rPr>
        <w:t xml:space="preserve">Shwartz-Ziv, Ravid, and Amitai Armon. 2022. “Tabular Data: Deep Learning Is Not All You Need.” </w:t>
      </w:r>
      <w:r>
        <w:rPr>
          <w:rFonts w:cs="Times New Roman" w:ascii="Times New Roman" w:hAnsi="Times New Roman"/>
          <w:i/>
          <w:iCs/>
        </w:rPr>
        <w:t>Information Fusion</w:t>
      </w:r>
      <w:r>
        <w:rPr>
          <w:rFonts w:cs="Times New Roman" w:ascii="Times New Roman" w:hAnsi="Times New Roman"/>
        </w:rPr>
        <w:t xml:space="preserve"> 81:84–90. doi: 10.1016/j.inffus.2021.11.011.</w:t>
      </w:r>
    </w:p>
    <w:p>
      <w:pPr>
        <w:pStyle w:val="Bibliography"/>
        <w:rPr>
          <w:rFonts w:ascii="Times New Roman" w:hAnsi="Times New Roman" w:cs="Times New Roman"/>
        </w:rPr>
      </w:pPr>
      <w:r>
        <w:rPr>
          <w:rFonts w:cs="Times New Roman" w:ascii="Times New Roman" w:hAnsi="Times New Roman"/>
        </w:rPr>
        <w:t xml:space="preserve">Tan, Jimin, Jianan Yang, Sai Wu, Gang Chen, and Jake Zhao. 2021. </w:t>
      </w:r>
      <w:r>
        <w:rPr>
          <w:rFonts w:cs="Times New Roman" w:ascii="Times New Roman" w:hAnsi="Times New Roman"/>
          <w:i/>
          <w:iCs/>
        </w:rPr>
        <w:t>A Critical Look at the Current Train/Test Split in Machine Learning</w:t>
      </w:r>
      <w:r>
        <w:rPr>
          <w:rFonts w:cs="Times New Roman" w:ascii="Times New Roman" w:hAnsi="Times New Roman"/>
        </w:rPr>
        <w:t>. arXiv:2106.04525. arXiv.</w:t>
      </w:r>
    </w:p>
    <w:p>
      <w:pPr>
        <w:pStyle w:val="Bibliography"/>
        <w:rPr>
          <w:rFonts w:ascii="Times New Roman" w:hAnsi="Times New Roman" w:cs="Times New Roman"/>
        </w:rPr>
      </w:pPr>
      <w:r>
        <w:rPr>
          <w:rFonts w:cs="Times New Roman" w:ascii="Times New Roman" w:hAnsi="Times New Roman"/>
        </w:rPr>
        <w:t xml:space="preserve">Thomese, Fleur, Almar Kok, Marjolein Broese van Groenou, Duco Bannink, and Martijn Huisman. 2017. “Decentralisatie in de langdurige zorg en sociaal-economische gezondheidsverschillen onder ouderen: gemengde gevolgen.” </w:t>
      </w:r>
      <w:r>
        <w:rPr>
          <w:rFonts w:cs="Times New Roman" w:ascii="Times New Roman" w:hAnsi="Times New Roman"/>
          <w:i/>
          <w:iCs/>
        </w:rPr>
        <w:t>Tijdschrift voor gezondheidswetenschappen</w:t>
      </w:r>
      <w:r>
        <w:rPr>
          <w:rFonts w:cs="Times New Roman" w:ascii="Times New Roman" w:hAnsi="Times New Roman"/>
        </w:rPr>
        <w:t xml:space="preserve"> 95(4):151–52. doi: 10.1007/s12508-017-0047-4.</w:t>
      </w:r>
    </w:p>
    <w:p>
      <w:pPr>
        <w:pStyle w:val="Bibliography"/>
        <w:rPr>
          <w:rFonts w:ascii="Times New Roman" w:hAnsi="Times New Roman" w:cs="Times New Roman"/>
        </w:rPr>
      </w:pPr>
      <w:r>
        <w:rPr>
          <w:rFonts w:cs="Times New Roman" w:ascii="Times New Roman" w:hAnsi="Times New Roman"/>
        </w:rPr>
        <w:t>Van Opstal, Wim. 2011. “Coöperaties in Zorg. Een Verkenning van Vraagstukken En Goede Praktijken in Binnen- En Buitenland.”</w:t>
      </w:r>
    </w:p>
    <w:p>
      <w:pPr>
        <w:pStyle w:val="Bibliography"/>
        <w:rPr>
          <w:rFonts w:ascii="Times New Roman" w:hAnsi="Times New Roman" w:cs="Times New Roman"/>
        </w:rPr>
      </w:pPr>
      <w:r>
        <w:rPr>
          <w:rFonts w:cs="Times New Roman" w:ascii="Times New Roman" w:hAnsi="Times New Roman"/>
        </w:rPr>
        <w:t>Veening, Lianne. 2016. “Zorgcoöperaties, duurzame burgerinitiatieven?” Utrecht University, Utrecht.</w:t>
      </w:r>
    </w:p>
    <w:p>
      <w:pPr>
        <w:pStyle w:val="Bibliography"/>
        <w:rPr>
          <w:rFonts w:ascii="Times New Roman" w:hAnsi="Times New Roman" w:cs="Times New Roman"/>
        </w:rPr>
      </w:pPr>
      <w:r>
        <w:rPr>
          <w:rFonts w:cs="Times New Roman" w:ascii="Times New Roman" w:hAnsi="Times New Roman"/>
        </w:rPr>
        <w:t xml:space="preserve">Zhu, Xufeng. 2014. “Mandate Versus Championship: Vertical Government Intervention and Diffusion of Innovation in Public Services in Authoritarian China.” </w:t>
      </w:r>
      <w:r>
        <w:rPr>
          <w:rFonts w:cs="Times New Roman" w:ascii="Times New Roman" w:hAnsi="Times New Roman"/>
          <w:i/>
          <w:iCs/>
        </w:rPr>
        <w:t>Public Management Review</w:t>
      </w:r>
      <w:r>
        <w:rPr>
          <w:rFonts w:cs="Times New Roman" w:ascii="Times New Roman" w:hAnsi="Times New Roman"/>
        </w:rPr>
        <w:t xml:space="preserve"> 16(1):117–39. doi: 10.1080/14719037.2013.798028.</w:t>
      </w:r>
    </w:p>
    <w:p>
      <w:pPr>
        <w:pStyle w:val="Normal"/>
        <w:spacing w:lineRule="auto" w:line="360" w:before="0" w:after="0"/>
        <w:jc w:val="both"/>
        <w:rPr>
          <w:rFonts w:ascii="Times New Roman" w:hAnsi="Times New Roman" w:cs="Times New Roman"/>
          <w:lang w:val="en-US"/>
        </w:rPr>
      </w:pPr>
      <w:r>
        <w:rPr/>
      </w:r>
      <w:r>
        <w:rPr/>
        <w:fldChar w:fldCharType="end"/>
      </w:r>
    </w:p>
    <w:p>
      <w:pPr>
        <w:pStyle w:val="Normal"/>
        <w:spacing w:lineRule="auto" w:line="360" w:before="0" w:after="0"/>
        <w:jc w:val="both"/>
        <w:rPr>
          <w:rFonts w:ascii="Times New Roman" w:hAnsi="Times New Roman" w:cs="Times New Roman"/>
          <w:lang w:val="en-US"/>
        </w:rPr>
      </w:pPr>
      <w:r>
        <w:rPr>
          <w:rFonts w:cs="Times New Roman" w:ascii="Times New Roman" w:hAnsi="Times New Roman"/>
          <w:lang w:val="en-US"/>
        </w:rPr>
      </w:r>
    </w:p>
    <w:p>
      <w:pPr>
        <w:pStyle w:val="Normal"/>
        <w:spacing w:lineRule="auto" w:line="360" w:before="0" w:after="0"/>
        <w:jc w:val="both"/>
        <w:rPr>
          <w:rFonts w:ascii="Times New Roman" w:hAnsi="Times New Roman" w:cs="Times New Roman"/>
          <w:lang w:val="en-US"/>
        </w:rPr>
      </w:pPr>
      <w:r>
        <w:rPr>
          <w:rFonts w:cs="Times New Roman" w:ascii="Times New Roman" w:hAnsi="Times New Roman"/>
          <w:lang w:val="en-US"/>
        </w:rPr>
        <w:t xml:space="preserve"> </w:t>
      </w:r>
    </w:p>
    <w:p>
      <w:pPr>
        <w:pStyle w:val="Normal"/>
        <w:spacing w:lineRule="auto" w:line="360" w:before="0" w:after="0"/>
        <w:jc w:val="both"/>
        <w:rPr>
          <w:rFonts w:ascii="Times New Roman" w:hAnsi="Times New Roman" w:cs="Times New Roman"/>
          <w:lang w:val="en-US"/>
        </w:rPr>
      </w:pPr>
      <w:r>
        <w:rPr>
          <w:rFonts w:cs="Times New Roman" w:ascii="Times New Roman" w:hAnsi="Times New Roman"/>
          <w:lang w:val="en-US"/>
        </w:rPr>
      </w:r>
    </w:p>
    <w:p>
      <w:pPr>
        <w:pStyle w:val="Normal"/>
        <w:spacing w:before="0" w:after="0"/>
        <w:jc w:val="both"/>
        <w:rPr>
          <w:rFonts w:ascii="Times New Roman" w:hAnsi="Times New Roman" w:cs="Times New Roman"/>
          <w:lang w:val="en-US"/>
        </w:rPr>
      </w:pPr>
      <w:r>
        <w:rPr/>
      </w:r>
    </w:p>
    <w:sectPr>
      <w:headerReference w:type="default" r:id="rId6"/>
      <w:footnotePr>
        <w:numFmt w:val="decimal"/>
      </w:footnotePr>
      <w:type w:val="nextPage"/>
      <w:pgSz w:w="11906" w:h="16838"/>
      <w:pgMar w:left="1417" w:right="1417" w:gutter="0" w:header="708" w:top="1417" w:footer="0" w:bottom="1417"/>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rFonts w:ascii="Times New Roman" w:hAnsi="Times New Roman" w:cs="Times New Roman"/>
          <w:lang w:val="en-US"/>
        </w:rPr>
      </w:pPr>
      <w:r>
        <w:rPr>
          <w:rStyle w:val="FootnoteCharacters"/>
        </w:rPr>
        <w:footnoteRef/>
      </w:r>
      <w:r>
        <w:rPr>
          <w:rFonts w:cs="Times New Roman" w:ascii="Times New Roman" w:hAnsi="Times New Roman"/>
        </w:rPr>
        <w:t xml:space="preserve"> </w:t>
      </w:r>
      <w:r>
        <w:rPr>
          <w:rFonts w:cs="Times New Roman" w:ascii="Times New Roman" w:hAnsi="Times New Roman"/>
        </w:rPr>
        <w:t>These data are currently unpublished, but are available through  the corresponding author on request.</w:t>
      </w:r>
    </w:p>
  </w:footnote>
  <w:footnote w:id="3">
    <w:p>
      <w:pPr>
        <w:pStyle w:val="Footnote"/>
        <w:spacing w:lineRule="auto" w:line="480"/>
        <w:rPr>
          <w:rFonts w:ascii="Times New Roman" w:hAnsi="Times New Roman" w:cs="Times New Roman"/>
          <w:lang w:val="en-US"/>
        </w:rPr>
      </w:pPr>
      <w:r>
        <w:rPr>
          <w:rStyle w:val="FootnoteCharacters"/>
        </w:rPr>
        <w:footnoteRef/>
      </w:r>
      <w:r>
        <w:rPr>
          <w:rFonts w:cs="Times New Roman" w:ascii="Times New Roman" w:hAnsi="Times New Roman"/>
        </w:rPr>
        <w:t xml:space="preserve"> </w:t>
      </w:r>
      <w:r>
        <w:rPr>
          <w:rFonts w:cs="Times New Roman" w:ascii="Times New Roman" w:hAnsi="Times New Roman"/>
          <w:lang w:val="en-US"/>
        </w:rPr>
        <w:t xml:space="preserve">For an accessible yet thorough introduction into data-driven practices and in particular their prospective application to the social sciences, I recommend the following works: </w:t>
      </w:r>
      <w:r>
        <w:fldChar w:fldCharType="begin"/>
      </w:r>
      <w:r>
        <w:rPr>
          <w:rFonts w:cs="Times New Roman" w:ascii="Times New Roman" w:hAnsi="Times New Roman"/>
          <w:lang w:val="en-US"/>
        </w:rPr>
        <w:instrText xml:space="preserve">ADDIN ZOTERO_ITEM CSL_CITATION {"citationID":"Hyke2eY2","properties":{"formattedCitation":"(Buskirk et al. 2018; Grimmer, Roberts, and Stewart 2021; Lundberg, Brand, and Jeon 2022)","plainCitation":"(Buskirk et al. 2018; Grimmer, Roberts, and Stewart 2021; Lundberg, Brand, and Jeon 2022)","noteIndex":2},"citationItems":[{"id":296,"uris":["http://zotero.org/users/local/KhtVq53Q/items/96VJC49N"],"itemData":{"id":296,"type":"article-journal","container-title":"Survey Practice","DOI":"10.29115/SP-2018-0004","ISSN":"21680094","issue":"1","journalAbbreviation":"Surv Pract","page":"1-10","source":"DOI.org (Crossref)","title":"An Introduction to Machine Learning Methods for Survey Researchers","volume":"11","author":[{"family":"Buskirk","given":"Trent D."},{"family":"Kirchner","given":"Antje"},{"family":"Eck","given":"Adam"},{"family":"Signorino","given":"Curtis S."}],"issued":{"date-parts":[["2018",1,3]]}}},{"id":298,"uris":["http://zotero.org/users/local/KhtVq53Q/items/DVHURPH5"],"itemData":{"id":298,"type":"article-journal","abstract":"Social scientists are now in an era of data abundance, and machine learning tools are increasingly used to extract meaning from data sets both massive and small. We explain how the inclusion of machine learning in the social sciences requires us to rethink not only applications of machine learning methods but also best practices in the social sciences. In contrast to the traditional tasks for machine learning in computer science and statistics, when machine learning is applied to social scientific data, it is used to discover new concepts, measure the prevalence of those concepts, assess causal effects, and make predictions. The abundance of data and resources facilitates the move away from a deductive social science to a more sequential, interactive, and ultimately inductive approach to inference. We explain how an agnostic approach to machine learning methods focused on the social science tasks facilitates progress across a wide range of questions.","container-title":"Annual Review of Political Science","DOI":"10.1146/annurev-polisci-053119-015921","ISSN":"1094-2939, 1545-1577","issue":"1","journalAbbreviation":"Annu. Rev. Polit. Sci.","language":"en","page":"395-419","source":"DOI.org (Crossref)","title":"Machine Learning for Social Science: An Agnostic Approach","title-short":"Machine Learning for Social Science","volume":"24","author":[{"family":"Grimmer","given":"Justin"},{"family":"Roberts","given":"Margaret E."},{"family":"Stewart","given":"Brandon M."}],"issued":{"date-parts":[["2021",5,11]]}}},{"id":305,"uris":["http://zotero.org/users/local/KhtVq53Q/items/TNNBRQV3"],"itemData":{"id":305,"type":"article-journal","container-title":"Social Science Research","DOI":"10.1016/j.ssresearch.2022.102807","ISSN":"0049089X","journalAbbreviation":"Social Science Research","language":"en","page":"102807","source":"DOI.org (Crossref)","title":"Researcher reasoning meets computational capacity: Machine learning for social science","title-short":"Researcher reasoning meets computational capacity","volume":"108","author":[{"family":"Lundberg","given":"Ian"},{"family":"Brand","given":"Jennie E."},{"family":"Jeon","given":"Nanum"}],"issued":{"date-parts":[["2022",11]]}}}],"schema":"https://github.com/citation-style-language/schema/raw/master/csl-citation.json"}</w:instrText>
      </w:r>
      <w:r>
        <w:rPr>
          <w:rFonts w:cs="Times New Roman" w:ascii="Times New Roman" w:hAnsi="Times New Roman"/>
          <w:lang w:val="en-US"/>
        </w:rPr>
      </w:r>
      <w:r>
        <w:rPr>
          <w:rFonts w:cs="Times New Roman" w:ascii="Times New Roman" w:hAnsi="Times New Roman"/>
          <w:lang w:val="en-US"/>
        </w:rPr>
        <w:fldChar w:fldCharType="separate"/>
      </w:r>
      <w:r>
        <w:rPr>
          <w:rFonts w:cs="Times New Roman" w:ascii="Times New Roman" w:hAnsi="Times New Roman"/>
          <w:lang w:val="en-US"/>
        </w:rPr>
      </w:r>
      <w:r>
        <w:rPr>
          <w:rFonts w:cs="Times New Roman" w:ascii="Times New Roman" w:hAnsi="Times New Roman"/>
        </w:rPr>
        <w:t>Buskirk et al. 2018; Grimmer, Roberts, and Stewart 2021; Lundberg, Brand, and Jeon 2022.</w:t>
      </w:r>
      <w:r>
        <w:rPr>
          <w:rFonts w:cs="Times New Roman" w:ascii="Times New Roman" w:hAnsi="Times New Roman"/>
          <w:lang w:val="en-US"/>
        </w:rPr>
      </w:r>
      <w:r>
        <w:rPr>
          <w:rFonts w:cs="Times New Roman" w:ascii="Times New Roman" w:hAnsi="Times New Roman"/>
          <w:lang w:val="en-US"/>
        </w:rPr>
        <w:fldChar w:fldCharType="end"/>
      </w:r>
    </w:p>
  </w:footnote>
  <w:footnote w:id="4">
    <w:p>
      <w:pPr>
        <w:pStyle w:val="Footnote"/>
        <w:spacing w:lineRule="auto" w:line="480"/>
        <w:jc w:val="both"/>
        <w:rPr>
          <w:rFonts w:ascii="Times New Roman" w:hAnsi="Times New Roman" w:cs="Times New Roman"/>
          <w:lang w:val="en-US"/>
        </w:rPr>
      </w:pPr>
      <w:r>
        <w:rPr>
          <w:rStyle w:val="FootnoteCharacters"/>
        </w:rPr>
        <w:footnoteRef/>
      </w:r>
      <w:r>
        <w:rPr>
          <w:rFonts w:cs="Times New Roman" w:ascii="Times New Roman" w:hAnsi="Times New Roman"/>
        </w:rPr>
        <w:t xml:space="preserve"> </w:t>
      </w:r>
      <w:r>
        <w:rPr>
          <w:rFonts w:cs="Times New Roman" w:ascii="Times New Roman" w:hAnsi="Times New Roman"/>
          <w:lang w:val="en-US"/>
        </w:rPr>
        <w:t>Of course, the value of the more complicated models is also found in the variation in residuals that they produce for the spatial analysis, based on their predicted probabilities. In addition, if the models would accurately predict all true negatives, we could interpret the gain in predictive accuracy as covering about 25% of the unknown variation of the baseline model. However, because the coverage of true negatives is not 100%, this comparison is incomplete.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cs="Times New Roman"/>
        <w:lang w:val="en-US"/>
      </w:rPr>
    </w:pPr>
    <w:r>
      <w:rPr>
        <w:rFonts w:cs="Times New Roman" w:ascii="Times New Roman" w:hAnsi="Times New Roman"/>
        <w:lang w:val="en-US"/>
      </w:rPr>
      <w:t>Kevin Wittenberg Contagion Of Collective Action – work in progress, do not share – 30/10/2023</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08"/>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nl-N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971af"/>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character" w:styleId="DefaultParagraphFont" w:default="1">
    <w:name w:val="Default Paragraph Font"/>
    <w:uiPriority w:val="1"/>
    <w:unhideWhenUsed/>
    <w:qFormat/>
    <w:rPr/>
  </w:style>
  <w:style w:type="character" w:styleId="Annotationreference">
    <w:name w:val="annotation reference"/>
    <w:basedOn w:val="DefaultParagraphFont"/>
    <w:uiPriority w:val="99"/>
    <w:semiHidden/>
    <w:unhideWhenUsed/>
    <w:qFormat/>
    <w:rsid w:val="00bb5352"/>
    <w:rPr>
      <w:sz w:val="16"/>
      <w:szCs w:val="16"/>
    </w:rPr>
  </w:style>
  <w:style w:type="character" w:styleId="CommentTextChar" w:customStyle="1">
    <w:name w:val="Comment Text Char"/>
    <w:basedOn w:val="DefaultParagraphFont"/>
    <w:link w:val="Annotationtext"/>
    <w:uiPriority w:val="99"/>
    <w:qFormat/>
    <w:rsid w:val="00bb5352"/>
    <w:rPr>
      <w:sz w:val="20"/>
      <w:szCs w:val="20"/>
      <w:lang w:val="en-GB"/>
    </w:rPr>
  </w:style>
  <w:style w:type="character" w:styleId="CommentSubjectChar" w:customStyle="1">
    <w:name w:val="Comment Subject Char"/>
    <w:basedOn w:val="CommentTextChar"/>
    <w:link w:val="Annotationsubject"/>
    <w:uiPriority w:val="99"/>
    <w:semiHidden/>
    <w:qFormat/>
    <w:rsid w:val="00bb5352"/>
    <w:rPr>
      <w:b/>
      <w:bCs/>
      <w:sz w:val="20"/>
      <w:szCs w:val="20"/>
      <w:lang w:val="en-GB"/>
    </w:rPr>
  </w:style>
  <w:style w:type="character" w:styleId="HeaderChar" w:customStyle="1">
    <w:name w:val="Header Char"/>
    <w:basedOn w:val="DefaultParagraphFont"/>
    <w:link w:val="Header"/>
    <w:uiPriority w:val="99"/>
    <w:qFormat/>
    <w:rsid w:val="00df2793"/>
    <w:rPr>
      <w:lang w:val="en-GB"/>
    </w:rPr>
  </w:style>
  <w:style w:type="character" w:styleId="FooterChar" w:customStyle="1">
    <w:name w:val="Footer Char"/>
    <w:basedOn w:val="DefaultParagraphFont"/>
    <w:link w:val="Footer"/>
    <w:uiPriority w:val="99"/>
    <w:qFormat/>
    <w:rsid w:val="00df2793"/>
    <w:rPr>
      <w:lang w:val="en-GB"/>
    </w:rPr>
  </w:style>
  <w:style w:type="character" w:styleId="FootnoteTextChar" w:customStyle="1">
    <w:name w:val="Footnote Text Char"/>
    <w:basedOn w:val="DefaultParagraphFont"/>
    <w:link w:val="Footnote"/>
    <w:uiPriority w:val="99"/>
    <w:semiHidden/>
    <w:qFormat/>
    <w:rsid w:val="00fe5f9f"/>
    <w:rPr>
      <w:sz w:val="20"/>
      <w:szCs w:val="20"/>
      <w:lang w:val="en-GB"/>
    </w:rPr>
  </w:style>
  <w:style w:type="character" w:styleId="FootnoteCharacters">
    <w:name w:val="Footnote Characters"/>
    <w:basedOn w:val="DefaultParagraphFont"/>
    <w:uiPriority w:val="99"/>
    <w:semiHidden/>
    <w:unhideWhenUsed/>
    <w:qFormat/>
    <w:rsid w:val="00ea38f9"/>
    <w:rPr>
      <w:vertAlign w:val="superscrip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basedOn w:val="DefaultParagraphFont"/>
    <w:uiPriority w:val="99"/>
    <w:semiHidden/>
    <w:unhideWhenUsed/>
    <w:qFormat/>
    <w:rsid w:val="00d12a47"/>
    <w:rPr>
      <w:vertAlign w:val="superscript"/>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sz w:val="24"/>
      <w:szCs w:val="24"/>
    </w:rPr>
  </w:style>
  <w:style w:type="paragraph" w:styleId="Annotationtext">
    <w:name w:val="annotation text"/>
    <w:basedOn w:val="Normal"/>
    <w:link w:val="CommentTextChar"/>
    <w:uiPriority w:val="99"/>
    <w:unhideWhenUsed/>
    <w:qFormat/>
    <w:rsid w:val="00bb535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bb5352"/>
    <w:pPr/>
    <w:rPr>
      <w:b/>
      <w:bCs/>
    </w:rPr>
  </w:style>
  <w:style w:type="paragraph" w:styleId="ListParagraph">
    <w:name w:val="List Paragraph"/>
    <w:basedOn w:val="Normal"/>
    <w:uiPriority w:val="34"/>
    <w:qFormat/>
    <w:rsid w:val="000f1c18"/>
    <w:pPr>
      <w:spacing w:before="0" w:after="200"/>
      <w:ind w:left="720" w:hanging="0"/>
      <w:contextualSpacing/>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df2793"/>
    <w:pPr>
      <w:tabs>
        <w:tab w:val="clear" w:pos="708"/>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df2793"/>
    <w:pPr>
      <w:tabs>
        <w:tab w:val="clear" w:pos="708"/>
        <w:tab w:val="center" w:pos="4513" w:leader="none"/>
        <w:tab w:val="right" w:pos="9026" w:leader="none"/>
      </w:tabs>
      <w:spacing w:lineRule="auto" w:line="240" w:before="0" w:after="0"/>
    </w:pPr>
    <w:rPr/>
  </w:style>
  <w:style w:type="paragraph" w:styleId="Bibliography">
    <w:name w:val="Bibliography"/>
    <w:basedOn w:val="Normal"/>
    <w:next w:val="Normal"/>
    <w:uiPriority w:val="37"/>
    <w:unhideWhenUsed/>
    <w:qFormat/>
    <w:rsid w:val="00c4299e"/>
    <w:pPr>
      <w:spacing w:lineRule="auto" w:line="240" w:before="0" w:after="240"/>
      <w:ind w:left="720" w:hanging="720"/>
    </w:pPr>
    <w:rPr/>
  </w:style>
  <w:style w:type="paragraph" w:styleId="Footnote">
    <w:name w:val="Footnote Text"/>
    <w:basedOn w:val="Normal"/>
    <w:link w:val="FootnoteTextChar"/>
    <w:uiPriority w:val="99"/>
    <w:semiHidden/>
    <w:unhideWhenUsed/>
    <w:rsid w:val="00fe5f9f"/>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ac21b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eader" Target="header1.xml"/><Relationship Id="rId7" Type="http://schemas.openxmlformats.org/officeDocument/2006/relationships/footnotes" Target="footnotes.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AA9B0-22BE-4CE6-98F6-3DA70BEE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LibreOffice/7.3.3.2$Windows_X86_64 LibreOffice_project/d1d0ea68f081ee2800a922cac8f79445e4603348</Application>
  <AppVersion>15.0000</AppVersion>
  <Pages>29</Pages>
  <Words>9439</Words>
  <Characters>54798</Characters>
  <CharactersWithSpaces>64054</CharactersWithSpaces>
  <Paragraphs>211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2023-10-30T17:04:00Z</dcterms:created>
  <dc:creator>Wittenberg, K. (Kevin)</dc:creator>
  <dc:description/>
  <dc:language>en-GB</dc:language>
  <cp:lastModifiedBy/>
  <dcterms:modified xsi:type="dcterms:W3CDTF">2023-10-31T23:55:53Z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id="NPpcUteh"/&gt;&lt;style id="http://www.zotero.org/styles/american-sociological-association" locale="en-US" hasBibliography="1" bibliographyStyleHasBeenSet="1"/&gt;&lt;prefs&gt;&lt;pref name="fieldType" value="Fiel</vt:lpwstr>
  </property>
  <property fmtid="{D5CDD505-2E9C-101B-9397-08002B2CF9AE}" pid="3" name="ZOTERO_PREF_2">
    <vt:lpwstr>d"/&gt;&lt;/prefs&gt;&lt;/data&gt;</vt:lpwstr>
  </property>
</Properties>
</file>